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Default Extension="sigs" ContentType="application/vnd.openxmlformats-package.digital-signature-origi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package/2006/relationships/digital-signature/origin" Target="/_xmlsignatures/origin.sigs" Id="rId4"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7E7" w:rsidRPr="00871721" w:rsidRDefault="00E627E7" w:rsidP="00E627E7">
      <w:pPr>
        <w:keepNext/>
        <w:jc w:val="center"/>
        <w:rPr>
          <w:b/>
          <w:sz w:val="32"/>
          <w:szCs w:val="32"/>
        </w:rPr>
      </w:pPr>
      <w:r w:rsidRPr="00871721">
        <w:rPr>
          <w:b/>
          <w:sz w:val="32"/>
          <w:szCs w:val="32"/>
        </w:rPr>
        <w:t>PROSPECTO</w:t>
      </w:r>
    </w:p>
    <w:p w:rsidR="00E627E7" w:rsidRPr="00871721" w:rsidRDefault="00E627E7" w:rsidP="00E627E7">
      <w:pPr>
        <w:jc w:val="center"/>
        <w:rPr>
          <w:b/>
          <w:sz w:val="32"/>
          <w:szCs w:val="32"/>
        </w:rPr>
      </w:pPr>
      <w:r w:rsidRPr="00871721">
        <w:rPr>
          <w:b/>
          <w:sz w:val="32"/>
          <w:szCs w:val="32"/>
        </w:rPr>
        <w:t xml:space="preserve">HOLCIM (COSTA RICA), S.A. </w:t>
      </w:r>
    </w:p>
    <w:p w:rsidR="00E627E7" w:rsidRPr="00871721" w:rsidRDefault="00E627E7" w:rsidP="00E627E7">
      <w:pPr>
        <w:keepNext/>
        <w:jc w:val="center"/>
        <w:rPr>
          <w:b/>
          <w:sz w:val="32"/>
          <w:szCs w:val="32"/>
        </w:rPr>
      </w:pPr>
      <w:bookmarkStart w:id="0" w:name="_30j0zll" w:colFirst="0" w:colLast="0"/>
      <w:bookmarkEnd w:id="0"/>
      <w:r w:rsidRPr="00871721">
        <w:rPr>
          <w:b/>
          <w:sz w:val="32"/>
          <w:szCs w:val="32"/>
        </w:rPr>
        <w:t>Y SUBSIDIARIAS</w:t>
      </w:r>
    </w:p>
    <w:p w:rsidR="00E627E7" w:rsidRPr="00871721" w:rsidRDefault="00E627E7" w:rsidP="00E627E7">
      <w:pPr>
        <w:jc w:val="center"/>
        <w:rPr>
          <w:b/>
          <w:sz w:val="24"/>
          <w:szCs w:val="24"/>
        </w:rPr>
      </w:pPr>
    </w:p>
    <w:p w:rsidR="00E627E7" w:rsidRPr="00871721" w:rsidRDefault="00E627E7" w:rsidP="00E627E7">
      <w:pPr>
        <w:jc w:val="both"/>
        <w:rPr>
          <w:b/>
          <w:sz w:val="32"/>
          <w:szCs w:val="32"/>
        </w:rPr>
      </w:pPr>
    </w:p>
    <w:p w:rsidR="00E627E7" w:rsidRPr="00871721" w:rsidRDefault="00E627E7" w:rsidP="00E627E7">
      <w:pPr>
        <w:jc w:val="both"/>
        <w:rPr>
          <w:b/>
          <w:sz w:val="32"/>
          <w:szCs w:val="32"/>
        </w:rPr>
      </w:pPr>
    </w:p>
    <w:tbl>
      <w:tblPr>
        <w:tblW w:w="7805" w:type="dxa"/>
        <w:jc w:val="center"/>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50"/>
        <w:gridCol w:w="2372"/>
        <w:gridCol w:w="2535"/>
        <w:gridCol w:w="2648"/>
      </w:tblGrid>
      <w:tr w:rsidR="00E627E7" w:rsidRPr="00871721" w:rsidTr="00E02D6F">
        <w:trPr>
          <w:jc w:val="center"/>
        </w:trPr>
        <w:tc>
          <w:tcPr>
            <w:tcW w:w="250" w:type="dxa"/>
            <w:tcBorders>
              <w:top w:val="single" w:sz="4" w:space="0" w:color="000000"/>
              <w:bottom w:val="single" w:sz="4" w:space="0" w:color="000000"/>
            </w:tcBorders>
          </w:tcPr>
          <w:p w:rsidR="00E627E7" w:rsidRPr="00871721" w:rsidRDefault="00E627E7" w:rsidP="00E02D6F">
            <w:pPr>
              <w:jc w:val="center"/>
              <w:rPr>
                <w:b/>
                <w:sz w:val="24"/>
                <w:szCs w:val="24"/>
              </w:rPr>
            </w:pPr>
          </w:p>
        </w:tc>
        <w:tc>
          <w:tcPr>
            <w:tcW w:w="2372" w:type="dxa"/>
            <w:tcBorders>
              <w:top w:val="single" w:sz="4" w:space="0" w:color="000000"/>
              <w:bottom w:val="single" w:sz="4" w:space="0" w:color="000000"/>
              <w:right w:val="nil"/>
            </w:tcBorders>
          </w:tcPr>
          <w:p w:rsidR="00E627E7" w:rsidRPr="00871721" w:rsidRDefault="00E627E7" w:rsidP="00E02D6F">
            <w:pPr>
              <w:keepNext/>
              <w:jc w:val="center"/>
              <w:rPr>
                <w:b/>
                <w:sz w:val="24"/>
                <w:szCs w:val="24"/>
              </w:rPr>
            </w:pPr>
            <w:r w:rsidRPr="00871721">
              <w:rPr>
                <w:b/>
                <w:sz w:val="24"/>
                <w:szCs w:val="24"/>
              </w:rPr>
              <w:t>Clase de emisiones inscritas</w:t>
            </w:r>
          </w:p>
        </w:tc>
        <w:tc>
          <w:tcPr>
            <w:tcW w:w="2535" w:type="dxa"/>
            <w:tcBorders>
              <w:top w:val="single" w:sz="4" w:space="0" w:color="000000"/>
              <w:left w:val="single" w:sz="4" w:space="0" w:color="000000"/>
              <w:bottom w:val="single" w:sz="4" w:space="0" w:color="000000"/>
              <w:right w:val="single" w:sz="4" w:space="0" w:color="000000"/>
            </w:tcBorders>
          </w:tcPr>
          <w:p w:rsidR="00E627E7" w:rsidRPr="00871721" w:rsidRDefault="00E627E7" w:rsidP="00E02D6F">
            <w:pPr>
              <w:jc w:val="center"/>
              <w:rPr>
                <w:b/>
                <w:sz w:val="24"/>
                <w:szCs w:val="24"/>
              </w:rPr>
            </w:pPr>
            <w:r w:rsidRPr="00871721">
              <w:rPr>
                <w:b/>
                <w:sz w:val="24"/>
                <w:szCs w:val="24"/>
              </w:rPr>
              <w:t>Capital social al 31 diciembre 2023</w:t>
            </w:r>
          </w:p>
        </w:tc>
        <w:tc>
          <w:tcPr>
            <w:tcW w:w="2648" w:type="dxa"/>
            <w:tcBorders>
              <w:top w:val="single" w:sz="4" w:space="0" w:color="000000"/>
              <w:left w:val="single" w:sz="4" w:space="0" w:color="000000"/>
              <w:bottom w:val="single" w:sz="4" w:space="0" w:color="000000"/>
              <w:right w:val="single" w:sz="4" w:space="0" w:color="000000"/>
            </w:tcBorders>
          </w:tcPr>
          <w:p w:rsidR="00E627E7" w:rsidRPr="00871721" w:rsidRDefault="00E627E7" w:rsidP="00E02D6F">
            <w:pPr>
              <w:jc w:val="center"/>
              <w:rPr>
                <w:b/>
                <w:sz w:val="24"/>
                <w:szCs w:val="24"/>
              </w:rPr>
            </w:pPr>
            <w:r w:rsidRPr="00871721">
              <w:rPr>
                <w:b/>
                <w:sz w:val="24"/>
                <w:szCs w:val="24"/>
              </w:rPr>
              <w:t>Fecha de autorización para realizar oferta pública</w:t>
            </w:r>
          </w:p>
        </w:tc>
      </w:tr>
      <w:tr w:rsidR="00E627E7" w:rsidRPr="00871721" w:rsidTr="00E02D6F">
        <w:trPr>
          <w:jc w:val="center"/>
        </w:trPr>
        <w:tc>
          <w:tcPr>
            <w:tcW w:w="250" w:type="dxa"/>
            <w:tcBorders>
              <w:top w:val="single" w:sz="4" w:space="0" w:color="000000"/>
              <w:bottom w:val="single" w:sz="4" w:space="0" w:color="000000"/>
            </w:tcBorders>
          </w:tcPr>
          <w:p w:rsidR="00E627E7" w:rsidRPr="00871721" w:rsidRDefault="00E627E7" w:rsidP="00E02D6F">
            <w:pPr>
              <w:jc w:val="both"/>
              <w:rPr>
                <w:b/>
                <w:sz w:val="24"/>
                <w:szCs w:val="24"/>
              </w:rPr>
            </w:pPr>
          </w:p>
        </w:tc>
        <w:tc>
          <w:tcPr>
            <w:tcW w:w="2372" w:type="dxa"/>
            <w:tcBorders>
              <w:top w:val="single" w:sz="4" w:space="0" w:color="000000"/>
              <w:bottom w:val="single" w:sz="4" w:space="0" w:color="000000"/>
              <w:right w:val="nil"/>
            </w:tcBorders>
          </w:tcPr>
          <w:p w:rsidR="00E627E7" w:rsidRPr="00871721" w:rsidRDefault="00E627E7" w:rsidP="00E02D6F">
            <w:pPr>
              <w:keepNext/>
              <w:numPr>
                <w:ilvl w:val="0"/>
                <w:numId w:val="8"/>
              </w:numPr>
              <w:ind w:left="337"/>
              <w:jc w:val="both"/>
              <w:rPr>
                <w:b/>
                <w:sz w:val="24"/>
                <w:szCs w:val="24"/>
              </w:rPr>
            </w:pPr>
            <w:r w:rsidRPr="00871721">
              <w:rPr>
                <w:b/>
                <w:sz w:val="24"/>
                <w:szCs w:val="24"/>
              </w:rPr>
              <w:t>Acciones</w:t>
            </w:r>
          </w:p>
        </w:tc>
        <w:tc>
          <w:tcPr>
            <w:tcW w:w="2535" w:type="dxa"/>
            <w:tcBorders>
              <w:top w:val="single" w:sz="4" w:space="0" w:color="000000"/>
              <w:left w:val="single" w:sz="4" w:space="0" w:color="000000"/>
              <w:bottom w:val="single" w:sz="4" w:space="0" w:color="000000"/>
              <w:right w:val="single" w:sz="4" w:space="0" w:color="000000"/>
            </w:tcBorders>
          </w:tcPr>
          <w:p w:rsidR="00E627E7" w:rsidRPr="00871721" w:rsidRDefault="00E627E7" w:rsidP="00E02D6F">
            <w:pPr>
              <w:jc w:val="center"/>
              <w:rPr>
                <w:b/>
                <w:sz w:val="24"/>
                <w:szCs w:val="24"/>
              </w:rPr>
            </w:pPr>
            <w:r w:rsidRPr="00871721">
              <w:rPr>
                <w:b/>
                <w:sz w:val="24"/>
                <w:szCs w:val="24"/>
              </w:rPr>
              <w:t>8.577.370.731</w:t>
            </w:r>
          </w:p>
        </w:tc>
        <w:tc>
          <w:tcPr>
            <w:tcW w:w="2648" w:type="dxa"/>
            <w:tcBorders>
              <w:top w:val="single" w:sz="4" w:space="0" w:color="000000"/>
              <w:left w:val="single" w:sz="4" w:space="0" w:color="000000"/>
              <w:bottom w:val="single" w:sz="4" w:space="0" w:color="000000"/>
              <w:right w:val="single" w:sz="4" w:space="0" w:color="000000"/>
            </w:tcBorders>
          </w:tcPr>
          <w:p w:rsidR="00E627E7" w:rsidRPr="00871721" w:rsidRDefault="00E627E7" w:rsidP="00E02D6F">
            <w:pPr>
              <w:jc w:val="center"/>
              <w:rPr>
                <w:b/>
                <w:sz w:val="24"/>
                <w:szCs w:val="24"/>
              </w:rPr>
            </w:pPr>
            <w:r w:rsidRPr="00871721">
              <w:rPr>
                <w:b/>
                <w:sz w:val="24"/>
                <w:szCs w:val="24"/>
              </w:rPr>
              <w:t>13 de octubre de 1976</w:t>
            </w:r>
          </w:p>
        </w:tc>
      </w:tr>
    </w:tbl>
    <w:p w:rsidR="00E627E7" w:rsidRPr="00871721" w:rsidRDefault="00E627E7" w:rsidP="00E627E7">
      <w:pPr>
        <w:jc w:val="both"/>
        <w:rPr>
          <w:b/>
          <w:sz w:val="32"/>
          <w:szCs w:val="32"/>
        </w:rPr>
      </w:pPr>
    </w:p>
    <w:p w:rsidR="00E627E7" w:rsidRPr="00871721" w:rsidRDefault="00E627E7" w:rsidP="00E627E7">
      <w:pPr>
        <w:jc w:val="both"/>
        <w:rPr>
          <w:b/>
          <w:sz w:val="32"/>
          <w:szCs w:val="32"/>
        </w:rPr>
      </w:pPr>
    </w:p>
    <w:p w:rsidR="00E627E7" w:rsidRPr="00871721" w:rsidRDefault="00E627E7" w:rsidP="00E627E7">
      <w:pPr>
        <w:rPr>
          <w:b/>
          <w:sz w:val="32"/>
          <w:szCs w:val="32"/>
        </w:rPr>
      </w:pPr>
    </w:p>
    <w:p w:rsidR="00E627E7" w:rsidRPr="00871721" w:rsidRDefault="00E627E7" w:rsidP="00E627E7">
      <w:pPr>
        <w:jc w:val="center"/>
        <w:rPr>
          <w:b/>
          <w:sz w:val="32"/>
          <w:szCs w:val="32"/>
        </w:rPr>
      </w:pPr>
    </w:p>
    <w:p w:rsidR="00E627E7" w:rsidRPr="00871721" w:rsidRDefault="00E627E7" w:rsidP="00E627E7">
      <w:pPr>
        <w:jc w:val="center"/>
        <w:rPr>
          <w:b/>
          <w:sz w:val="32"/>
          <w:szCs w:val="32"/>
        </w:rPr>
      </w:pPr>
      <w:r w:rsidRPr="00871721">
        <w:rPr>
          <w:b/>
          <w:sz w:val="32"/>
          <w:szCs w:val="32"/>
        </w:rPr>
        <w:t>“La autorización para realizar oferta pública no implica calificación sobre la bondad de la emisión ni la solvencia del emisor o intermediario”</w:t>
      </w:r>
    </w:p>
    <w:p w:rsidR="00E627E7" w:rsidRPr="00871721" w:rsidRDefault="00E627E7" w:rsidP="00E627E7">
      <w:pPr>
        <w:jc w:val="both"/>
        <w:rPr>
          <w:b/>
          <w:sz w:val="32"/>
          <w:szCs w:val="32"/>
        </w:rPr>
      </w:pPr>
    </w:p>
    <w:p w:rsidR="00E627E7" w:rsidRPr="00871721" w:rsidRDefault="00E627E7" w:rsidP="00E627E7">
      <w:pPr>
        <w:jc w:val="both"/>
        <w:rPr>
          <w:b/>
          <w:sz w:val="32"/>
          <w:szCs w:val="32"/>
        </w:rPr>
      </w:pPr>
    </w:p>
    <w:p w:rsidR="00E627E7" w:rsidRPr="00871721" w:rsidRDefault="00E627E7" w:rsidP="00E627E7">
      <w:pPr>
        <w:keepNext/>
        <w:spacing w:before="240" w:after="240" w:line="276" w:lineRule="auto"/>
        <w:jc w:val="center"/>
        <w:rPr>
          <w:b/>
          <w:sz w:val="32"/>
          <w:szCs w:val="32"/>
        </w:rPr>
      </w:pPr>
      <w:bookmarkStart w:id="1" w:name="_1fob9te" w:colFirst="0" w:colLast="0"/>
      <w:bookmarkEnd w:id="1"/>
      <w:r>
        <w:rPr>
          <w:b/>
          <w:sz w:val="32"/>
          <w:szCs w:val="32"/>
        </w:rPr>
        <w:t>Septiembre</w:t>
      </w:r>
      <w:r w:rsidRPr="00871721">
        <w:rPr>
          <w:b/>
          <w:sz w:val="32"/>
          <w:szCs w:val="32"/>
        </w:rPr>
        <w:t xml:space="preserve"> 2024 </w:t>
      </w:r>
    </w:p>
    <w:p w:rsidR="00E627E7" w:rsidRPr="00871721" w:rsidRDefault="00E627E7" w:rsidP="00E627E7">
      <w:pPr>
        <w:keepNext/>
        <w:spacing w:before="240" w:after="240" w:line="276" w:lineRule="auto"/>
        <w:jc w:val="center"/>
        <w:rPr>
          <w:b/>
          <w:sz w:val="32"/>
          <w:szCs w:val="32"/>
        </w:rPr>
      </w:pPr>
      <w:bookmarkStart w:id="2" w:name="_3znysh7" w:colFirst="0" w:colLast="0"/>
      <w:bookmarkEnd w:id="2"/>
      <w:r>
        <w:rPr>
          <w:b/>
          <w:sz w:val="32"/>
          <w:szCs w:val="32"/>
        </w:rPr>
        <w:t>(por el año terminado a 31 de d</w:t>
      </w:r>
      <w:r w:rsidRPr="00871721">
        <w:rPr>
          <w:b/>
          <w:sz w:val="32"/>
          <w:szCs w:val="32"/>
        </w:rPr>
        <w:t>iciembre de 2023)</w:t>
      </w:r>
    </w:p>
    <w:p w:rsidR="00E627E7" w:rsidRPr="00871721" w:rsidRDefault="00E627E7" w:rsidP="00E627E7">
      <w:pPr>
        <w:keepNext/>
        <w:jc w:val="center"/>
        <w:rPr>
          <w:b/>
          <w:sz w:val="32"/>
          <w:szCs w:val="32"/>
        </w:rPr>
      </w:pPr>
      <w:bookmarkStart w:id="3" w:name="_2et92p0" w:colFirst="0" w:colLast="0"/>
      <w:bookmarkEnd w:id="3"/>
    </w:p>
    <w:p w:rsidR="00E627E7" w:rsidRPr="00871721" w:rsidRDefault="00E627E7" w:rsidP="00E627E7">
      <w:pPr>
        <w:jc w:val="both"/>
        <w:rPr>
          <w:b/>
          <w:sz w:val="32"/>
          <w:szCs w:val="32"/>
        </w:rPr>
      </w:pPr>
    </w:p>
    <w:p w:rsidR="00E627E7" w:rsidRPr="00871721" w:rsidRDefault="00E627E7" w:rsidP="00E627E7">
      <w:pPr>
        <w:jc w:val="both"/>
        <w:rPr>
          <w:b/>
          <w:sz w:val="32"/>
          <w:szCs w:val="32"/>
        </w:rPr>
      </w:pPr>
    </w:p>
    <w:p w:rsidR="00E627E7" w:rsidRPr="00871721" w:rsidRDefault="00E627E7" w:rsidP="00E627E7">
      <w:pPr>
        <w:keepNext/>
        <w:jc w:val="center"/>
        <w:rPr>
          <w:sz w:val="32"/>
          <w:szCs w:val="32"/>
        </w:rPr>
      </w:pPr>
      <w:bookmarkStart w:id="4" w:name="_tyjcwt" w:colFirst="0" w:colLast="0"/>
      <w:bookmarkEnd w:id="4"/>
      <w:r w:rsidRPr="00871721">
        <w:rPr>
          <w:b/>
          <w:sz w:val="32"/>
          <w:szCs w:val="32"/>
        </w:rPr>
        <w:t>San José, Costa Rica</w:t>
      </w:r>
    </w:p>
    <w:p w:rsidR="00E627E7" w:rsidRPr="00871721" w:rsidRDefault="00E627E7" w:rsidP="00E627E7">
      <w:pPr>
        <w:jc w:val="both"/>
        <w:rPr>
          <w:sz w:val="20"/>
          <w:szCs w:val="20"/>
        </w:rPr>
      </w:pPr>
    </w:p>
    <w:p w:rsidR="00E627E7" w:rsidRPr="00871721" w:rsidRDefault="00E627E7" w:rsidP="00E627E7">
      <w:pPr>
        <w:jc w:val="both"/>
        <w:rPr>
          <w:b/>
          <w:sz w:val="32"/>
          <w:szCs w:val="32"/>
        </w:rPr>
      </w:pPr>
    </w:p>
    <w:p w:rsidR="00E627E7" w:rsidRPr="00871721" w:rsidRDefault="00E627E7" w:rsidP="00E627E7">
      <w:pPr>
        <w:keepNext/>
        <w:jc w:val="center"/>
        <w:rPr>
          <w:b/>
          <w:sz w:val="32"/>
          <w:szCs w:val="32"/>
        </w:rPr>
      </w:pPr>
    </w:p>
    <w:p w:rsidR="00E627E7" w:rsidRPr="00871721" w:rsidRDefault="00E627E7" w:rsidP="00E627E7">
      <w:pPr>
        <w:keepNext/>
        <w:jc w:val="center"/>
        <w:rPr>
          <w:b/>
          <w:sz w:val="32"/>
          <w:szCs w:val="32"/>
        </w:rPr>
      </w:pPr>
    </w:p>
    <w:p w:rsidR="00E627E7" w:rsidRPr="00871721" w:rsidRDefault="00E627E7" w:rsidP="00E627E7">
      <w:pPr>
        <w:keepNext/>
        <w:jc w:val="center"/>
        <w:rPr>
          <w:b/>
          <w:sz w:val="32"/>
          <w:szCs w:val="32"/>
        </w:rPr>
      </w:pPr>
    </w:p>
    <w:p w:rsidR="00E627E7" w:rsidRPr="00871721" w:rsidRDefault="00E627E7" w:rsidP="00E627E7">
      <w:pPr>
        <w:keepNext/>
        <w:jc w:val="center"/>
        <w:rPr>
          <w:b/>
          <w:sz w:val="32"/>
          <w:szCs w:val="32"/>
        </w:rPr>
      </w:pPr>
    </w:p>
    <w:p w:rsidR="00E627E7" w:rsidRPr="00871721" w:rsidRDefault="00E627E7" w:rsidP="00E627E7">
      <w:pPr>
        <w:keepNext/>
        <w:jc w:val="center"/>
        <w:rPr>
          <w:b/>
          <w:sz w:val="32"/>
          <w:szCs w:val="32"/>
        </w:rPr>
      </w:pPr>
    </w:p>
    <w:p w:rsidR="00E627E7" w:rsidRPr="00871721" w:rsidRDefault="00E627E7" w:rsidP="00E627E7">
      <w:pPr>
        <w:keepNext/>
        <w:jc w:val="center"/>
        <w:rPr>
          <w:b/>
          <w:sz w:val="32"/>
          <w:szCs w:val="32"/>
        </w:rPr>
      </w:pPr>
    </w:p>
    <w:p w:rsidR="00E627E7" w:rsidRPr="00871721" w:rsidRDefault="00E627E7" w:rsidP="00E627E7">
      <w:pPr>
        <w:keepNext/>
        <w:jc w:val="center"/>
        <w:rPr>
          <w:b/>
          <w:sz w:val="24"/>
          <w:szCs w:val="24"/>
        </w:rPr>
      </w:pPr>
    </w:p>
    <w:p w:rsidR="00E627E7" w:rsidRPr="00871721" w:rsidRDefault="00E627E7" w:rsidP="00E627E7">
      <w:pPr>
        <w:keepNext/>
        <w:jc w:val="center"/>
        <w:rPr>
          <w:b/>
          <w:sz w:val="24"/>
          <w:szCs w:val="24"/>
        </w:rPr>
      </w:pPr>
    </w:p>
    <w:p w:rsidR="00E627E7" w:rsidRPr="00871721" w:rsidRDefault="00E627E7" w:rsidP="00E627E7">
      <w:pPr>
        <w:keepNext/>
        <w:jc w:val="center"/>
        <w:rPr>
          <w:b/>
          <w:sz w:val="24"/>
          <w:szCs w:val="24"/>
        </w:rPr>
      </w:pPr>
      <w:r w:rsidRPr="00871721">
        <w:rPr>
          <w:b/>
          <w:sz w:val="24"/>
          <w:szCs w:val="24"/>
        </w:rPr>
        <w:t>NOTAS IMPORTANTES PARA EL INVERSIONISTA</w:t>
      </w:r>
    </w:p>
    <w:p w:rsidR="00E627E7" w:rsidRPr="00871721" w:rsidRDefault="00E627E7" w:rsidP="00E627E7">
      <w:pPr>
        <w:jc w:val="center"/>
        <w:rPr>
          <w:b/>
          <w:sz w:val="24"/>
          <w:szCs w:val="24"/>
        </w:rPr>
      </w:pPr>
    </w:p>
    <w:p w:rsidR="00E627E7" w:rsidRPr="00871721" w:rsidRDefault="00E627E7" w:rsidP="00E627E7">
      <w:pPr>
        <w:jc w:val="center"/>
        <w:rPr>
          <w:b/>
          <w:sz w:val="24"/>
          <w:szCs w:val="24"/>
        </w:rPr>
      </w:pPr>
    </w:p>
    <w:p w:rsidR="00E627E7" w:rsidRPr="00871721" w:rsidRDefault="00E627E7" w:rsidP="00E627E7">
      <w:pPr>
        <w:numPr>
          <w:ilvl w:val="0"/>
          <w:numId w:val="6"/>
        </w:numPr>
        <w:ind w:left="0" w:firstLine="0"/>
        <w:jc w:val="both"/>
        <w:rPr>
          <w:b/>
          <w:sz w:val="24"/>
          <w:szCs w:val="24"/>
        </w:rPr>
      </w:pPr>
      <w:r w:rsidRPr="00871721">
        <w:rPr>
          <w:b/>
          <w:sz w:val="24"/>
          <w:szCs w:val="24"/>
        </w:rPr>
        <w:t>Señor inversionista es su deber y derecho conocer el contenido del Prospecto antes de tomar la decisión de invertir.  Éste le brinda información sobre la emisión, la información relevante relativa al emisor, así como los riesgos asociados tanto a la emisión como al emisor.  La información estipulada en el prospecto es de carácter vinculante para la empresa, lo que significa que ésta será responsable legalmente por la información que se consigne en el prospecto.</w:t>
      </w:r>
    </w:p>
    <w:p w:rsidR="00E627E7" w:rsidRPr="00871721" w:rsidRDefault="00E627E7" w:rsidP="00E627E7">
      <w:pPr>
        <w:ind w:left="720"/>
        <w:jc w:val="both"/>
        <w:rPr>
          <w:b/>
          <w:sz w:val="24"/>
          <w:szCs w:val="24"/>
        </w:rPr>
      </w:pPr>
    </w:p>
    <w:p w:rsidR="00E627E7" w:rsidRPr="00871721" w:rsidRDefault="00E627E7" w:rsidP="00E627E7">
      <w:pPr>
        <w:numPr>
          <w:ilvl w:val="0"/>
          <w:numId w:val="6"/>
        </w:numPr>
        <w:ind w:left="0" w:firstLine="0"/>
        <w:jc w:val="both"/>
        <w:rPr>
          <w:b/>
          <w:sz w:val="24"/>
          <w:szCs w:val="24"/>
        </w:rPr>
      </w:pPr>
      <w:r w:rsidRPr="00871721">
        <w:rPr>
          <w:b/>
          <w:sz w:val="24"/>
          <w:szCs w:val="24"/>
        </w:rPr>
        <w:t xml:space="preserve">Asimismo, consulte los hechos relevantes sobre los acontecimientos que pueden incidir en el desempeño de la empresa y los informes financieros.  </w:t>
      </w:r>
    </w:p>
    <w:p w:rsidR="00E627E7" w:rsidRPr="00871721" w:rsidRDefault="00E627E7" w:rsidP="00E627E7">
      <w:pPr>
        <w:ind w:left="720"/>
        <w:jc w:val="both"/>
        <w:rPr>
          <w:b/>
          <w:sz w:val="24"/>
          <w:szCs w:val="24"/>
        </w:rPr>
      </w:pPr>
    </w:p>
    <w:p w:rsidR="00E627E7" w:rsidRPr="00871721" w:rsidRDefault="00E627E7" w:rsidP="00E627E7">
      <w:pPr>
        <w:numPr>
          <w:ilvl w:val="0"/>
          <w:numId w:val="6"/>
        </w:numPr>
        <w:ind w:left="0" w:firstLine="0"/>
        <w:jc w:val="both"/>
        <w:rPr>
          <w:b/>
          <w:sz w:val="24"/>
          <w:szCs w:val="24"/>
        </w:rPr>
      </w:pPr>
      <w:r w:rsidRPr="00871721">
        <w:rPr>
          <w:b/>
          <w:sz w:val="24"/>
          <w:szCs w:val="24"/>
        </w:rPr>
        <w:t>El comportamiento y desempeño de las empresas emisoras a través del tiempo no asegura su solvencia y liquidez futuras.  La inversión que realice será únicamente por su cuenta y riesgo.</w:t>
      </w:r>
    </w:p>
    <w:p w:rsidR="00E627E7" w:rsidRPr="00871721" w:rsidRDefault="00E627E7" w:rsidP="00E627E7">
      <w:pPr>
        <w:ind w:left="720"/>
        <w:jc w:val="both"/>
        <w:rPr>
          <w:b/>
          <w:sz w:val="24"/>
          <w:szCs w:val="24"/>
        </w:rPr>
      </w:pPr>
    </w:p>
    <w:p w:rsidR="00E627E7" w:rsidRPr="00871721" w:rsidRDefault="00E627E7" w:rsidP="00E627E7">
      <w:pPr>
        <w:numPr>
          <w:ilvl w:val="0"/>
          <w:numId w:val="6"/>
        </w:numPr>
        <w:ind w:left="0" w:firstLine="0"/>
        <w:jc w:val="both"/>
        <w:rPr>
          <w:b/>
          <w:sz w:val="24"/>
          <w:szCs w:val="24"/>
        </w:rPr>
      </w:pPr>
      <w:r w:rsidRPr="00871721">
        <w:rPr>
          <w:b/>
          <w:sz w:val="24"/>
          <w:szCs w:val="24"/>
        </w:rPr>
        <w:t>La Superintendencia General de Valores no emite criterio sobre la veracidad, exactitud o suficiencia de la información contenida en este prospecto.</w:t>
      </w:r>
    </w:p>
    <w:p w:rsidR="00E627E7" w:rsidRPr="00871721" w:rsidRDefault="00E627E7" w:rsidP="00E627E7">
      <w:pPr>
        <w:ind w:left="720"/>
        <w:jc w:val="both"/>
        <w:rPr>
          <w:b/>
          <w:sz w:val="24"/>
          <w:szCs w:val="24"/>
        </w:rPr>
      </w:pPr>
    </w:p>
    <w:p w:rsidR="00E627E7" w:rsidRPr="00871721" w:rsidRDefault="00E627E7" w:rsidP="00E627E7">
      <w:pPr>
        <w:numPr>
          <w:ilvl w:val="0"/>
          <w:numId w:val="6"/>
        </w:numPr>
        <w:ind w:left="0" w:firstLine="0"/>
        <w:jc w:val="both"/>
        <w:rPr>
          <w:b/>
          <w:sz w:val="24"/>
          <w:szCs w:val="24"/>
        </w:rPr>
      </w:pPr>
      <w:r w:rsidRPr="00871721">
        <w:rPr>
          <w:b/>
          <w:sz w:val="24"/>
          <w:szCs w:val="24"/>
        </w:rPr>
        <w:t>La Superintendencia General de Valores y quienes intervienen en el proceso de intermediación bursátil no asumen responsabilidad sobre la situación financiera de la empresa emisora.</w:t>
      </w:r>
    </w:p>
    <w:p w:rsidR="00E627E7" w:rsidRPr="00871721" w:rsidRDefault="00E627E7" w:rsidP="00E627E7">
      <w:pPr>
        <w:jc w:val="both"/>
        <w:rPr>
          <w:b/>
          <w:sz w:val="24"/>
          <w:szCs w:val="24"/>
        </w:rPr>
      </w:pPr>
    </w:p>
    <w:p w:rsidR="00E627E7" w:rsidRPr="00871721" w:rsidRDefault="00E627E7" w:rsidP="00E627E7">
      <w:pPr>
        <w:jc w:val="both"/>
        <w:rPr>
          <w:b/>
          <w:sz w:val="24"/>
          <w:szCs w:val="24"/>
        </w:rPr>
      </w:pPr>
    </w:p>
    <w:p w:rsidR="00E627E7" w:rsidRPr="00871721" w:rsidRDefault="00E627E7" w:rsidP="00E627E7">
      <w:pPr>
        <w:jc w:val="both"/>
        <w:rPr>
          <w:b/>
          <w:sz w:val="20"/>
          <w:szCs w:val="20"/>
        </w:rPr>
      </w:pPr>
    </w:p>
    <w:p w:rsidR="00E627E7" w:rsidRDefault="00E627E7" w:rsidP="00E627E7">
      <w:pPr>
        <w:jc w:val="both"/>
        <w:rPr>
          <w:b/>
          <w:sz w:val="20"/>
          <w:szCs w:val="20"/>
        </w:rPr>
      </w:pPr>
    </w:p>
    <w:p w:rsidR="00E627E7" w:rsidRDefault="00E627E7" w:rsidP="00E627E7">
      <w:pPr>
        <w:jc w:val="both"/>
        <w:rPr>
          <w:b/>
          <w:sz w:val="20"/>
          <w:szCs w:val="20"/>
        </w:rPr>
      </w:pPr>
    </w:p>
    <w:p w:rsidR="00E627E7" w:rsidRDefault="00E627E7" w:rsidP="00E627E7">
      <w:pPr>
        <w:jc w:val="both"/>
        <w:rPr>
          <w:b/>
          <w:sz w:val="20"/>
          <w:szCs w:val="20"/>
        </w:rPr>
      </w:pPr>
    </w:p>
    <w:p w:rsidR="00E627E7" w:rsidRDefault="00E627E7" w:rsidP="00E627E7">
      <w:pPr>
        <w:jc w:val="both"/>
        <w:rPr>
          <w:b/>
          <w:sz w:val="20"/>
          <w:szCs w:val="20"/>
        </w:rPr>
      </w:pPr>
    </w:p>
    <w:p w:rsidR="00E627E7" w:rsidRDefault="00E627E7" w:rsidP="00E627E7">
      <w:pPr>
        <w:jc w:val="both"/>
        <w:rPr>
          <w:b/>
          <w:sz w:val="20"/>
          <w:szCs w:val="20"/>
        </w:rPr>
      </w:pPr>
    </w:p>
    <w:p w:rsidR="00E627E7" w:rsidRPr="00871721" w:rsidRDefault="00E627E7" w:rsidP="00E627E7">
      <w:pPr>
        <w:jc w:val="both"/>
        <w:rPr>
          <w:b/>
          <w:sz w:val="20"/>
          <w:szCs w:val="20"/>
        </w:rPr>
      </w:pPr>
    </w:p>
    <w:p w:rsidR="00E627E7" w:rsidRPr="00871721" w:rsidRDefault="00E627E7" w:rsidP="00E627E7">
      <w:pPr>
        <w:jc w:val="both"/>
        <w:rPr>
          <w:b/>
          <w:sz w:val="20"/>
          <w:szCs w:val="20"/>
        </w:rPr>
      </w:pPr>
    </w:p>
    <w:p w:rsidR="00E627E7" w:rsidRPr="00871721" w:rsidRDefault="00E627E7" w:rsidP="00E627E7">
      <w:pPr>
        <w:ind w:left="4320"/>
        <w:rPr>
          <w:b/>
          <w:sz w:val="32"/>
          <w:szCs w:val="32"/>
          <w:u w:val="single"/>
        </w:rPr>
      </w:pPr>
    </w:p>
    <w:p w:rsidR="00E627E7" w:rsidRPr="00871721" w:rsidRDefault="00E627E7" w:rsidP="00E627E7">
      <w:pPr>
        <w:ind w:left="4320"/>
        <w:rPr>
          <w:b/>
          <w:sz w:val="32"/>
          <w:szCs w:val="32"/>
          <w:u w:val="single"/>
        </w:rPr>
      </w:pPr>
    </w:p>
    <w:p w:rsidR="00E627E7" w:rsidRPr="00871721" w:rsidRDefault="00E627E7" w:rsidP="00E627E7">
      <w:pPr>
        <w:ind w:left="4320"/>
        <w:rPr>
          <w:b/>
          <w:sz w:val="20"/>
          <w:szCs w:val="20"/>
          <w:u w:val="single"/>
        </w:rPr>
      </w:pPr>
      <w:r w:rsidRPr="00871721">
        <w:rPr>
          <w:b/>
          <w:sz w:val="32"/>
          <w:szCs w:val="32"/>
          <w:u w:val="single"/>
        </w:rPr>
        <w:t>INDICE</w:t>
      </w:r>
    </w:p>
    <w:p w:rsidR="00E627E7" w:rsidRPr="00871721" w:rsidRDefault="00E627E7" w:rsidP="00E627E7">
      <w:pPr>
        <w:jc w:val="both"/>
        <w:rPr>
          <w:b/>
          <w:sz w:val="20"/>
          <w:szCs w:val="20"/>
        </w:rPr>
      </w:pPr>
    </w:p>
    <w:p w:rsidR="00E627E7" w:rsidRPr="00871721" w:rsidRDefault="00E627E7" w:rsidP="00E627E7">
      <w:pPr>
        <w:tabs>
          <w:tab w:val="right" w:pos="9881"/>
        </w:tabs>
        <w:spacing w:after="100"/>
        <w:rPr>
          <w:i/>
        </w:rPr>
      </w:pPr>
    </w:p>
    <w:p w:rsidR="00E627E7" w:rsidRPr="00871721" w:rsidRDefault="00E02D6F" w:rsidP="00E627E7">
      <w:pPr>
        <w:tabs>
          <w:tab w:val="right" w:pos="9881"/>
        </w:tabs>
        <w:spacing w:after="100"/>
        <w:rPr>
          <w:i/>
        </w:rPr>
      </w:pPr>
      <w:hyperlink w:anchor="_z337ya">
        <w:r w:rsidR="00E627E7" w:rsidRPr="00871721">
          <w:rPr>
            <w:i/>
          </w:rPr>
          <w:t>Notas importantes para el inversionista</w:t>
        </w:r>
        <w:r w:rsidR="00E627E7" w:rsidRPr="00871721">
          <w:rPr>
            <w:i/>
          </w:rPr>
          <w:tab/>
        </w:r>
      </w:hyperlink>
      <w:r w:rsidR="00E627E7" w:rsidRPr="00871721">
        <w:rPr>
          <w:i/>
        </w:rPr>
        <w:t>2</w:t>
      </w:r>
    </w:p>
    <w:p w:rsidR="00E627E7" w:rsidRPr="00871721" w:rsidRDefault="00E627E7" w:rsidP="00E627E7">
      <w:pPr>
        <w:tabs>
          <w:tab w:val="right" w:pos="9881"/>
        </w:tabs>
        <w:spacing w:after="100"/>
        <w:rPr>
          <w:i/>
        </w:rPr>
      </w:pPr>
      <w:r w:rsidRPr="00871721">
        <w:rPr>
          <w:b/>
          <w:i/>
        </w:rPr>
        <w:t>CAPÍTULO I: INFORMACIÓN SOBRE LAS EMISIONES, LA OFERTA E IDENTIFICACIÓN DE LOS INVOLUCRADOS EN EL PROCESO DE OFERTA PÚBLICA</w:t>
      </w:r>
      <w:r w:rsidRPr="00871721">
        <w:rPr>
          <w:i/>
        </w:rPr>
        <w:tab/>
        <w:t>5</w:t>
      </w:r>
    </w:p>
    <w:p w:rsidR="00E627E7" w:rsidRPr="00871721" w:rsidRDefault="00E627E7" w:rsidP="00E627E7">
      <w:pPr>
        <w:tabs>
          <w:tab w:val="right" w:pos="9881"/>
        </w:tabs>
        <w:spacing w:after="100"/>
        <w:rPr>
          <w:i/>
        </w:rPr>
      </w:pPr>
      <w:r w:rsidRPr="00871721">
        <w:rPr>
          <w:b/>
          <w:i/>
        </w:rPr>
        <w:t>Emisión de acciones comunes</w:t>
      </w:r>
      <w:r w:rsidRPr="00871721">
        <w:rPr>
          <w:i/>
        </w:rPr>
        <w:tab/>
        <w:t>5</w:t>
      </w:r>
    </w:p>
    <w:p w:rsidR="00E627E7" w:rsidRPr="00871721" w:rsidRDefault="00E627E7" w:rsidP="00E627E7">
      <w:pPr>
        <w:tabs>
          <w:tab w:val="right" w:pos="9881"/>
        </w:tabs>
        <w:spacing w:after="100"/>
        <w:rPr>
          <w:i/>
        </w:rPr>
      </w:pPr>
      <w:r w:rsidRPr="00871721">
        <w:rPr>
          <w:i/>
        </w:rPr>
        <w:t>Agente de pago</w:t>
      </w:r>
      <w:r w:rsidRPr="00871721">
        <w:rPr>
          <w:i/>
        </w:rPr>
        <w:tab/>
      </w:r>
      <w:r>
        <w:rPr>
          <w:i/>
        </w:rPr>
        <w:t>7</w:t>
      </w:r>
    </w:p>
    <w:p w:rsidR="00E627E7" w:rsidRPr="00871721" w:rsidRDefault="00E627E7" w:rsidP="00E627E7">
      <w:pPr>
        <w:tabs>
          <w:tab w:val="right" w:pos="9881"/>
        </w:tabs>
        <w:spacing w:after="100"/>
        <w:rPr>
          <w:i/>
        </w:rPr>
      </w:pPr>
      <w:r w:rsidRPr="00871721">
        <w:rPr>
          <w:i/>
        </w:rPr>
        <w:t>Derechos Patrimoniales y Corporativos de los accionistas</w:t>
      </w:r>
      <w:r w:rsidRPr="00871721">
        <w:rPr>
          <w:i/>
        </w:rPr>
        <w:tab/>
      </w:r>
      <w:r>
        <w:rPr>
          <w:i/>
        </w:rPr>
        <w:t>7</w:t>
      </w:r>
    </w:p>
    <w:p w:rsidR="00E627E7" w:rsidRPr="00871721" w:rsidRDefault="00E627E7" w:rsidP="00E627E7">
      <w:pPr>
        <w:tabs>
          <w:tab w:val="right" w:pos="9881"/>
        </w:tabs>
        <w:spacing w:after="100"/>
        <w:rPr>
          <w:i/>
        </w:rPr>
      </w:pPr>
      <w:r w:rsidRPr="00871721">
        <w:rPr>
          <w:i/>
        </w:rPr>
        <w:t>Sistema de voto</w:t>
      </w:r>
      <w:r w:rsidRPr="00871721">
        <w:rPr>
          <w:i/>
        </w:rPr>
        <w:tab/>
      </w:r>
      <w:r>
        <w:rPr>
          <w:i/>
        </w:rPr>
        <w:t>7</w:t>
      </w:r>
    </w:p>
    <w:p w:rsidR="00E627E7" w:rsidRPr="00871721" w:rsidRDefault="00E627E7" w:rsidP="00E627E7">
      <w:pPr>
        <w:tabs>
          <w:tab w:val="right" w:pos="9881"/>
        </w:tabs>
        <w:spacing w:after="100"/>
        <w:rPr>
          <w:i/>
        </w:rPr>
      </w:pPr>
      <w:r w:rsidRPr="00871721">
        <w:rPr>
          <w:i/>
        </w:rPr>
        <w:t>Desmaterialización de acciones</w:t>
      </w:r>
      <w:r w:rsidRPr="00871721">
        <w:rPr>
          <w:i/>
        </w:rPr>
        <w:tab/>
      </w:r>
      <w:r>
        <w:rPr>
          <w:i/>
        </w:rPr>
        <w:t>7</w:t>
      </w:r>
    </w:p>
    <w:p w:rsidR="00E627E7" w:rsidRPr="00871721" w:rsidRDefault="00E627E7" w:rsidP="00E627E7">
      <w:pPr>
        <w:tabs>
          <w:tab w:val="right" w:pos="9881"/>
        </w:tabs>
        <w:spacing w:after="100"/>
        <w:rPr>
          <w:i/>
        </w:rPr>
      </w:pPr>
      <w:r w:rsidRPr="00871721">
        <w:rPr>
          <w:i/>
        </w:rPr>
        <w:t>Tratamiento tributario</w:t>
      </w:r>
      <w:r w:rsidRPr="00871721">
        <w:rPr>
          <w:i/>
        </w:rPr>
        <w:tab/>
      </w:r>
      <w:r>
        <w:rPr>
          <w:i/>
        </w:rPr>
        <w:t>8</w:t>
      </w:r>
    </w:p>
    <w:p w:rsidR="00E627E7" w:rsidRPr="00871721" w:rsidRDefault="00E627E7" w:rsidP="00E627E7">
      <w:pPr>
        <w:tabs>
          <w:tab w:val="right" w:pos="9881"/>
        </w:tabs>
        <w:spacing w:after="100"/>
        <w:rPr>
          <w:i/>
        </w:rPr>
      </w:pPr>
      <w:r w:rsidRPr="00871721">
        <w:rPr>
          <w:i/>
        </w:rPr>
        <w:t>Emisiones inscritas en otros mercados ………………………………………………………………….</w:t>
      </w:r>
      <w:r w:rsidRPr="00871721">
        <w:rPr>
          <w:i/>
        </w:rPr>
        <w:tab/>
      </w:r>
      <w:r>
        <w:rPr>
          <w:i/>
        </w:rPr>
        <w:t>8</w:t>
      </w:r>
    </w:p>
    <w:p w:rsidR="00E627E7" w:rsidRPr="00871721" w:rsidRDefault="00E627E7" w:rsidP="00E627E7">
      <w:pPr>
        <w:tabs>
          <w:tab w:val="right" w:pos="9881"/>
        </w:tabs>
        <w:spacing w:after="100"/>
        <w:rPr>
          <w:i/>
        </w:rPr>
      </w:pPr>
      <w:r w:rsidRPr="00871721">
        <w:rPr>
          <w:b/>
          <w:i/>
        </w:rPr>
        <w:t>CAPÍTULO II: INFORMACIÓN ESENCIAL</w:t>
      </w:r>
      <w:r w:rsidRPr="00871721">
        <w:rPr>
          <w:i/>
        </w:rPr>
        <w:tab/>
      </w:r>
      <w:r>
        <w:rPr>
          <w:i/>
        </w:rPr>
        <w:t>10</w:t>
      </w:r>
    </w:p>
    <w:p w:rsidR="00E627E7" w:rsidRPr="00871721" w:rsidRDefault="00E627E7" w:rsidP="00E627E7">
      <w:pPr>
        <w:tabs>
          <w:tab w:val="right" w:pos="9881"/>
        </w:tabs>
        <w:spacing w:after="100"/>
        <w:rPr>
          <w:i/>
        </w:rPr>
      </w:pPr>
      <w:r w:rsidRPr="00871721">
        <w:rPr>
          <w:b/>
          <w:i/>
        </w:rPr>
        <w:t>Factores de riesgo que afectan a la empresa y a la emisión</w:t>
      </w:r>
      <w:r w:rsidRPr="00871721">
        <w:rPr>
          <w:i/>
        </w:rPr>
        <w:tab/>
      </w:r>
      <w:r>
        <w:rPr>
          <w:i/>
        </w:rPr>
        <w:t>10</w:t>
      </w:r>
    </w:p>
    <w:p w:rsidR="00E627E7" w:rsidRPr="00871721" w:rsidRDefault="00E627E7" w:rsidP="00E627E7">
      <w:pPr>
        <w:tabs>
          <w:tab w:val="right" w:pos="9881"/>
        </w:tabs>
        <w:spacing w:after="100"/>
        <w:rPr>
          <w:i/>
        </w:rPr>
      </w:pPr>
      <w:r w:rsidRPr="00871721">
        <w:rPr>
          <w:i/>
        </w:rPr>
        <w:t>Riesgos propios de la actividad de la empresa</w:t>
      </w:r>
      <w:r w:rsidRPr="00871721">
        <w:rPr>
          <w:i/>
        </w:rPr>
        <w:tab/>
      </w:r>
      <w:r>
        <w:rPr>
          <w:i/>
        </w:rPr>
        <w:t>10</w:t>
      </w:r>
    </w:p>
    <w:p w:rsidR="00E627E7" w:rsidRPr="00871721" w:rsidRDefault="00E627E7" w:rsidP="00E627E7">
      <w:pPr>
        <w:tabs>
          <w:tab w:val="right" w:pos="9881"/>
        </w:tabs>
        <w:spacing w:after="100"/>
        <w:rPr>
          <w:i/>
        </w:rPr>
      </w:pPr>
      <w:r w:rsidRPr="00871721">
        <w:rPr>
          <w:i/>
        </w:rPr>
        <w:t>Riesgos asociados a la emisión de acciones</w:t>
      </w:r>
      <w:r w:rsidRPr="00871721">
        <w:rPr>
          <w:i/>
        </w:rPr>
        <w:tab/>
        <w:t>1</w:t>
      </w:r>
      <w:r>
        <w:rPr>
          <w:i/>
        </w:rPr>
        <w:t>2</w:t>
      </w:r>
    </w:p>
    <w:p w:rsidR="00E627E7" w:rsidRPr="00871721" w:rsidRDefault="00E627E7" w:rsidP="00E627E7">
      <w:pPr>
        <w:tabs>
          <w:tab w:val="right" w:pos="9881"/>
        </w:tabs>
        <w:spacing w:after="100"/>
        <w:rPr>
          <w:i/>
        </w:rPr>
      </w:pPr>
      <w:r>
        <w:rPr>
          <w:i/>
        </w:rPr>
        <w:t>Administración de riesgos</w:t>
      </w:r>
      <w:r>
        <w:rPr>
          <w:i/>
        </w:rPr>
        <w:tab/>
        <w:t>14</w:t>
      </w:r>
    </w:p>
    <w:p w:rsidR="00E627E7" w:rsidRPr="00871721" w:rsidRDefault="00E627E7" w:rsidP="00E627E7">
      <w:pPr>
        <w:tabs>
          <w:tab w:val="right" w:pos="9881"/>
        </w:tabs>
        <w:spacing w:after="100"/>
        <w:rPr>
          <w:i/>
        </w:rPr>
      </w:pPr>
      <w:r w:rsidRPr="00871721">
        <w:rPr>
          <w:b/>
          <w:i/>
        </w:rPr>
        <w:t>Indicadores Financieros</w:t>
      </w:r>
      <w:r w:rsidRPr="00871721">
        <w:rPr>
          <w:i/>
        </w:rPr>
        <w:tab/>
        <w:t>1</w:t>
      </w:r>
      <w:r>
        <w:rPr>
          <w:i/>
        </w:rPr>
        <w:t>6</w:t>
      </w:r>
    </w:p>
    <w:p w:rsidR="00E627E7" w:rsidRPr="00871721" w:rsidRDefault="00E627E7" w:rsidP="00E627E7">
      <w:pPr>
        <w:tabs>
          <w:tab w:val="right" w:pos="9881"/>
        </w:tabs>
        <w:spacing w:after="100"/>
        <w:rPr>
          <w:i/>
        </w:rPr>
      </w:pPr>
      <w:r w:rsidRPr="00871721">
        <w:rPr>
          <w:b/>
          <w:i/>
        </w:rPr>
        <w:t>Capitalización</w:t>
      </w:r>
      <w:r>
        <w:rPr>
          <w:i/>
        </w:rPr>
        <w:tab/>
        <w:t>21</w:t>
      </w:r>
    </w:p>
    <w:p w:rsidR="00E627E7" w:rsidRPr="00871721" w:rsidRDefault="00E627E7" w:rsidP="00E627E7">
      <w:pPr>
        <w:tabs>
          <w:tab w:val="right" w:pos="9881"/>
        </w:tabs>
        <w:spacing w:after="100"/>
        <w:rPr>
          <w:i/>
        </w:rPr>
      </w:pPr>
      <w:r w:rsidRPr="00871721">
        <w:rPr>
          <w:b/>
          <w:i/>
        </w:rPr>
        <w:t>Política de Dividendos</w:t>
      </w:r>
      <w:r>
        <w:rPr>
          <w:i/>
        </w:rPr>
        <w:tab/>
        <w:t>21</w:t>
      </w:r>
    </w:p>
    <w:p w:rsidR="00E627E7" w:rsidRPr="00871721" w:rsidRDefault="00E627E7" w:rsidP="00E627E7">
      <w:pPr>
        <w:tabs>
          <w:tab w:val="right" w:pos="9881"/>
        </w:tabs>
        <w:spacing w:after="100"/>
        <w:rPr>
          <w:i/>
        </w:rPr>
      </w:pPr>
      <w:r w:rsidRPr="00871721">
        <w:rPr>
          <w:b/>
          <w:i/>
        </w:rPr>
        <w:t>Composición del capital social</w:t>
      </w:r>
      <w:r>
        <w:rPr>
          <w:i/>
        </w:rPr>
        <w:tab/>
        <w:t>22</w:t>
      </w:r>
    </w:p>
    <w:p w:rsidR="00E627E7" w:rsidRPr="00871721" w:rsidRDefault="00E627E7" w:rsidP="00E627E7">
      <w:pPr>
        <w:tabs>
          <w:tab w:val="right" w:pos="9881"/>
        </w:tabs>
        <w:spacing w:after="100"/>
        <w:rPr>
          <w:i/>
        </w:rPr>
      </w:pPr>
      <w:r w:rsidRPr="00871721">
        <w:rPr>
          <w:b/>
          <w:i/>
        </w:rPr>
        <w:t>Participación social de directores, personal gerencial y empleados</w:t>
      </w:r>
      <w:r>
        <w:rPr>
          <w:i/>
        </w:rPr>
        <w:tab/>
        <w:t>22</w:t>
      </w:r>
    </w:p>
    <w:p w:rsidR="00E627E7" w:rsidRPr="00871721" w:rsidRDefault="00E627E7" w:rsidP="00E627E7">
      <w:pPr>
        <w:tabs>
          <w:tab w:val="right" w:pos="9881"/>
        </w:tabs>
        <w:spacing w:after="100"/>
        <w:rPr>
          <w:i/>
        </w:rPr>
      </w:pPr>
      <w:r w:rsidRPr="00871721">
        <w:rPr>
          <w:b/>
          <w:i/>
        </w:rPr>
        <w:t>CAPÍTULO III: INFORMACIÓN SOBRE LA EMPRESA EMISORA</w:t>
      </w:r>
      <w:r w:rsidRPr="00871721">
        <w:rPr>
          <w:i/>
        </w:rPr>
        <w:tab/>
      </w:r>
      <w:r>
        <w:rPr>
          <w:i/>
        </w:rPr>
        <w:t>23</w:t>
      </w:r>
    </w:p>
    <w:p w:rsidR="00E627E7" w:rsidRPr="00871721" w:rsidRDefault="00E627E7" w:rsidP="00E627E7">
      <w:pPr>
        <w:tabs>
          <w:tab w:val="right" w:pos="9881"/>
        </w:tabs>
        <w:spacing w:after="100"/>
        <w:rPr>
          <w:i/>
        </w:rPr>
      </w:pPr>
      <w:r>
        <w:rPr>
          <w:i/>
        </w:rPr>
        <w:t>Actividad principal</w:t>
      </w:r>
      <w:r>
        <w:rPr>
          <w:i/>
        </w:rPr>
        <w:tab/>
        <w:t>23</w:t>
      </w:r>
    </w:p>
    <w:p w:rsidR="00E627E7" w:rsidRPr="00871721" w:rsidRDefault="00E627E7" w:rsidP="00E627E7">
      <w:pPr>
        <w:tabs>
          <w:tab w:val="right" w:pos="9881"/>
        </w:tabs>
        <w:spacing w:after="100"/>
        <w:rPr>
          <w:i/>
        </w:rPr>
      </w:pPr>
      <w:r>
        <w:rPr>
          <w:i/>
        </w:rPr>
        <w:t>Productos</w:t>
      </w:r>
      <w:r>
        <w:rPr>
          <w:i/>
        </w:rPr>
        <w:tab/>
        <w:t>24</w:t>
      </w:r>
    </w:p>
    <w:p w:rsidR="00E627E7" w:rsidRPr="00871721" w:rsidRDefault="00E627E7" w:rsidP="00E627E7">
      <w:pPr>
        <w:tabs>
          <w:tab w:val="right" w:pos="9881"/>
        </w:tabs>
        <w:spacing w:after="100"/>
        <w:rPr>
          <w:i/>
        </w:rPr>
      </w:pPr>
      <w:r>
        <w:rPr>
          <w:i/>
        </w:rPr>
        <w:t>Infraestructura de producción</w:t>
      </w:r>
      <w:r>
        <w:rPr>
          <w:i/>
        </w:rPr>
        <w:tab/>
        <w:t>24</w:t>
      </w:r>
    </w:p>
    <w:p w:rsidR="00E627E7" w:rsidRPr="00871721" w:rsidRDefault="00E627E7" w:rsidP="00E627E7">
      <w:pPr>
        <w:tabs>
          <w:tab w:val="right" w:pos="9881"/>
        </w:tabs>
        <w:spacing w:after="100"/>
        <w:rPr>
          <w:i/>
        </w:rPr>
      </w:pPr>
      <w:r>
        <w:rPr>
          <w:i/>
        </w:rPr>
        <w:t>Actividad cementera</w:t>
      </w:r>
      <w:r>
        <w:rPr>
          <w:i/>
        </w:rPr>
        <w:tab/>
        <w:t>25</w:t>
      </w:r>
    </w:p>
    <w:p w:rsidR="00E627E7" w:rsidRPr="00871721" w:rsidRDefault="00E627E7" w:rsidP="00E627E7">
      <w:pPr>
        <w:tabs>
          <w:tab w:val="right" w:pos="9881"/>
        </w:tabs>
        <w:spacing w:after="100"/>
        <w:rPr>
          <w:i/>
        </w:rPr>
      </w:pPr>
      <w:r>
        <w:rPr>
          <w:i/>
        </w:rPr>
        <w:t>Crecimiento de la empresa</w:t>
      </w:r>
      <w:r>
        <w:rPr>
          <w:i/>
        </w:rPr>
        <w:tab/>
        <w:t>25</w:t>
      </w:r>
    </w:p>
    <w:p w:rsidR="00E627E7" w:rsidRPr="00871721" w:rsidRDefault="00E627E7" w:rsidP="00E627E7">
      <w:pPr>
        <w:tabs>
          <w:tab w:val="right" w:pos="9881"/>
        </w:tabs>
        <w:spacing w:after="100"/>
        <w:rPr>
          <w:i/>
        </w:rPr>
      </w:pPr>
      <w:r>
        <w:rPr>
          <w:i/>
        </w:rPr>
        <w:t>Políticas de producción</w:t>
      </w:r>
      <w:r>
        <w:rPr>
          <w:i/>
        </w:rPr>
        <w:tab/>
        <w:t>25</w:t>
      </w:r>
    </w:p>
    <w:p w:rsidR="00E627E7" w:rsidRPr="00871721" w:rsidRDefault="00E627E7" w:rsidP="00E627E7">
      <w:pPr>
        <w:tabs>
          <w:tab w:val="right" w:pos="9881"/>
        </w:tabs>
        <w:spacing w:after="100"/>
        <w:rPr>
          <w:i/>
        </w:rPr>
      </w:pPr>
      <w:r>
        <w:rPr>
          <w:i/>
        </w:rPr>
        <w:t>Competencia</w:t>
      </w:r>
      <w:r>
        <w:rPr>
          <w:i/>
        </w:rPr>
        <w:tab/>
        <w:t>25</w:t>
      </w:r>
    </w:p>
    <w:p w:rsidR="00E627E7" w:rsidRPr="00871721" w:rsidRDefault="00E627E7" w:rsidP="00E627E7">
      <w:pPr>
        <w:tabs>
          <w:tab w:val="right" w:pos="9881"/>
        </w:tabs>
        <w:spacing w:after="100"/>
        <w:rPr>
          <w:i/>
        </w:rPr>
      </w:pPr>
      <w:r>
        <w:rPr>
          <w:i/>
        </w:rPr>
        <w:t>Integración de empresas</w:t>
      </w:r>
      <w:r>
        <w:rPr>
          <w:i/>
        </w:rPr>
        <w:tab/>
        <w:t>26</w:t>
      </w:r>
    </w:p>
    <w:p w:rsidR="00E627E7" w:rsidRPr="00871721" w:rsidRDefault="00E627E7" w:rsidP="00E627E7">
      <w:pPr>
        <w:tabs>
          <w:tab w:val="right" w:pos="9881"/>
        </w:tabs>
        <w:spacing w:after="100"/>
        <w:rPr>
          <w:i/>
        </w:rPr>
      </w:pPr>
      <w:r>
        <w:rPr>
          <w:i/>
        </w:rPr>
        <w:t>Seguros de la empresa</w:t>
      </w:r>
      <w:r>
        <w:rPr>
          <w:i/>
        </w:rPr>
        <w:tab/>
        <w:t>27</w:t>
      </w:r>
    </w:p>
    <w:p w:rsidR="00E627E7" w:rsidRPr="00871721" w:rsidRDefault="00E627E7" w:rsidP="00E627E7">
      <w:pPr>
        <w:tabs>
          <w:tab w:val="right" w:pos="9881"/>
        </w:tabs>
        <w:spacing w:after="100"/>
        <w:rPr>
          <w:i/>
        </w:rPr>
      </w:pPr>
      <w:r w:rsidRPr="00871721">
        <w:rPr>
          <w:i/>
        </w:rPr>
        <w:t>Contrato de Asistencia Técnica y uso d</w:t>
      </w:r>
      <w:r>
        <w:rPr>
          <w:i/>
        </w:rPr>
        <w:t>e marca</w:t>
      </w:r>
      <w:r>
        <w:rPr>
          <w:i/>
        </w:rPr>
        <w:tab/>
        <w:t>27</w:t>
      </w:r>
    </w:p>
    <w:p w:rsidR="00E627E7" w:rsidRPr="00871721" w:rsidRDefault="00E627E7" w:rsidP="00E627E7">
      <w:pPr>
        <w:tabs>
          <w:tab w:val="right" w:pos="9881"/>
        </w:tabs>
        <w:spacing w:after="100"/>
        <w:rPr>
          <w:i/>
        </w:rPr>
      </w:pPr>
      <w:r>
        <w:rPr>
          <w:i/>
        </w:rPr>
        <w:t>Estructura Corporativa</w:t>
      </w:r>
      <w:r>
        <w:rPr>
          <w:i/>
        </w:rPr>
        <w:tab/>
        <w:t>27</w:t>
      </w:r>
    </w:p>
    <w:p w:rsidR="00E627E7" w:rsidRPr="00871721" w:rsidRDefault="00E627E7" w:rsidP="00E627E7">
      <w:pPr>
        <w:tabs>
          <w:tab w:val="right" w:pos="9881"/>
        </w:tabs>
        <w:spacing w:after="100"/>
        <w:rPr>
          <w:i/>
        </w:rPr>
      </w:pPr>
      <w:r>
        <w:rPr>
          <w:i/>
        </w:rPr>
        <w:t>Organigrama Corporativo</w:t>
      </w:r>
      <w:r>
        <w:rPr>
          <w:i/>
        </w:rPr>
        <w:tab/>
        <w:t>28</w:t>
      </w:r>
    </w:p>
    <w:p w:rsidR="00E627E7" w:rsidRPr="00871721" w:rsidRDefault="00E627E7" w:rsidP="00E627E7">
      <w:pPr>
        <w:tabs>
          <w:tab w:val="right" w:pos="9881"/>
        </w:tabs>
        <w:spacing w:after="100"/>
        <w:rPr>
          <w:i/>
        </w:rPr>
      </w:pPr>
      <w:r w:rsidRPr="00871721">
        <w:rPr>
          <w:i/>
        </w:rPr>
        <w:t>Pa</w:t>
      </w:r>
      <w:r>
        <w:rPr>
          <w:i/>
        </w:rPr>
        <w:t>rticipación en otras empresas</w:t>
      </w:r>
      <w:r>
        <w:rPr>
          <w:i/>
        </w:rPr>
        <w:tab/>
        <w:t>29</w:t>
      </w:r>
    </w:p>
    <w:p w:rsidR="00E627E7" w:rsidRPr="00871721" w:rsidRDefault="00E627E7" w:rsidP="00E627E7">
      <w:pPr>
        <w:tabs>
          <w:tab w:val="right" w:pos="9881"/>
        </w:tabs>
        <w:spacing w:after="100"/>
        <w:rPr>
          <w:i/>
        </w:rPr>
      </w:pPr>
      <w:r>
        <w:rPr>
          <w:i/>
        </w:rPr>
        <w:t>Antecedentes</w:t>
      </w:r>
      <w:r>
        <w:rPr>
          <w:i/>
        </w:rPr>
        <w:tab/>
        <w:t>29</w:t>
      </w:r>
    </w:p>
    <w:p w:rsidR="00E627E7" w:rsidRPr="00871721" w:rsidRDefault="00E627E7" w:rsidP="00E627E7">
      <w:pPr>
        <w:tabs>
          <w:tab w:val="right" w:pos="9881"/>
        </w:tabs>
        <w:spacing w:after="100"/>
        <w:rPr>
          <w:i/>
        </w:rPr>
      </w:pPr>
      <w:r>
        <w:rPr>
          <w:i/>
        </w:rPr>
        <w:t>Propiedades, plantas y equipo</w:t>
      </w:r>
      <w:r>
        <w:rPr>
          <w:i/>
        </w:rPr>
        <w:tab/>
        <w:t>31</w:t>
      </w:r>
    </w:p>
    <w:p w:rsidR="00E627E7" w:rsidRPr="00871721" w:rsidRDefault="00E627E7" w:rsidP="00E627E7">
      <w:pPr>
        <w:tabs>
          <w:tab w:val="right" w:pos="9881"/>
        </w:tabs>
        <w:spacing w:after="100"/>
        <w:rPr>
          <w:i/>
        </w:rPr>
      </w:pPr>
      <w:r w:rsidRPr="00871721">
        <w:rPr>
          <w:b/>
          <w:i/>
        </w:rPr>
        <w:t>CAPÍTULO IV: RESULTADOS DE OPERACIÓN Y FINANCIEROS E INFORMACIÓN PROSPECTIVA (OPINIÓN DE LA GERENCIA)</w:t>
      </w:r>
      <w:r w:rsidRPr="00871721">
        <w:rPr>
          <w:b/>
          <w:i/>
        </w:rPr>
        <w:tab/>
      </w:r>
      <w:r>
        <w:rPr>
          <w:i/>
        </w:rPr>
        <w:t>32</w:t>
      </w:r>
    </w:p>
    <w:p w:rsidR="00E627E7" w:rsidRPr="00871721" w:rsidRDefault="00E627E7" w:rsidP="00E627E7">
      <w:pPr>
        <w:tabs>
          <w:tab w:val="right" w:pos="9881"/>
        </w:tabs>
        <w:spacing w:after="100"/>
        <w:rPr>
          <w:i/>
        </w:rPr>
      </w:pPr>
      <w:r w:rsidRPr="00871721">
        <w:rPr>
          <w:b/>
          <w:i/>
        </w:rPr>
        <w:t>CAPÍTULO V: DIRECTORES, PERSONAL GERENCIAL Y EMPLEADOS</w:t>
      </w:r>
      <w:r w:rsidRPr="00871721">
        <w:rPr>
          <w:b/>
          <w:i/>
        </w:rPr>
        <w:tab/>
      </w:r>
      <w:r>
        <w:rPr>
          <w:i/>
        </w:rPr>
        <w:t>41</w:t>
      </w:r>
    </w:p>
    <w:p w:rsidR="00E627E7" w:rsidRPr="00871721" w:rsidRDefault="00E627E7" w:rsidP="00E627E7">
      <w:pPr>
        <w:tabs>
          <w:tab w:val="right" w:pos="9881"/>
        </w:tabs>
        <w:spacing w:after="100"/>
        <w:rPr>
          <w:i/>
        </w:rPr>
      </w:pPr>
      <w:r w:rsidRPr="00871721">
        <w:rPr>
          <w:i/>
        </w:rPr>
        <w:t>Información de los M</w:t>
      </w:r>
      <w:r>
        <w:rPr>
          <w:i/>
        </w:rPr>
        <w:t>iembros de la Junta Directiva</w:t>
      </w:r>
      <w:r>
        <w:rPr>
          <w:i/>
        </w:rPr>
        <w:tab/>
        <w:t>41</w:t>
      </w:r>
    </w:p>
    <w:p w:rsidR="00E627E7" w:rsidRPr="00871721" w:rsidRDefault="00E627E7" w:rsidP="00E627E7">
      <w:pPr>
        <w:tabs>
          <w:tab w:val="right" w:pos="9881"/>
        </w:tabs>
        <w:spacing w:after="100"/>
        <w:rPr>
          <w:i/>
        </w:rPr>
      </w:pPr>
      <w:r w:rsidRPr="00871721">
        <w:rPr>
          <w:i/>
        </w:rPr>
        <w:t>Inf</w:t>
      </w:r>
      <w:r>
        <w:rPr>
          <w:i/>
        </w:rPr>
        <w:t>ormación del Comité Ejecutivo</w:t>
      </w:r>
      <w:r>
        <w:rPr>
          <w:i/>
        </w:rPr>
        <w:tab/>
        <w:t>42</w:t>
      </w:r>
    </w:p>
    <w:p w:rsidR="00E627E7" w:rsidRPr="00871721" w:rsidRDefault="00E627E7" w:rsidP="00E627E7">
      <w:pPr>
        <w:tabs>
          <w:tab w:val="right" w:pos="9881"/>
        </w:tabs>
        <w:spacing w:after="100"/>
        <w:rPr>
          <w:i/>
        </w:rPr>
      </w:pPr>
      <w:r w:rsidRPr="00871721">
        <w:rPr>
          <w:i/>
        </w:rPr>
        <w:t>Funciones de la Junta Directiva (Consejo de Administr</w:t>
      </w:r>
      <w:r>
        <w:rPr>
          <w:i/>
        </w:rPr>
        <w:t>ación), según Estatuto Social</w:t>
      </w:r>
      <w:r>
        <w:rPr>
          <w:i/>
        </w:rPr>
        <w:tab/>
        <w:t>43</w:t>
      </w:r>
    </w:p>
    <w:p w:rsidR="00E627E7" w:rsidRPr="00871721" w:rsidRDefault="00E627E7" w:rsidP="00E627E7">
      <w:pPr>
        <w:tabs>
          <w:tab w:val="right" w:pos="9881"/>
        </w:tabs>
        <w:spacing w:after="100"/>
        <w:rPr>
          <w:i/>
        </w:rPr>
      </w:pPr>
      <w:r w:rsidRPr="00871721">
        <w:rPr>
          <w:i/>
        </w:rPr>
        <w:t>Sobre las funciones adicionales del Consejo de Administra</w:t>
      </w:r>
      <w:r>
        <w:rPr>
          <w:i/>
        </w:rPr>
        <w:t>ción y Directores Gerenciales</w:t>
      </w:r>
      <w:r>
        <w:rPr>
          <w:i/>
        </w:rPr>
        <w:tab/>
        <w:t>44</w:t>
      </w:r>
    </w:p>
    <w:p w:rsidR="00E627E7" w:rsidRPr="00871721" w:rsidRDefault="00E627E7" w:rsidP="00E627E7">
      <w:pPr>
        <w:tabs>
          <w:tab w:val="right" w:pos="9881"/>
        </w:tabs>
        <w:spacing w:after="100"/>
        <w:rPr>
          <w:i/>
        </w:rPr>
      </w:pPr>
      <w:r w:rsidRPr="00871721">
        <w:rPr>
          <w:i/>
        </w:rPr>
        <w:t>Políticas generales de compensación de los directores y personal gerencial (únicamente p</w:t>
      </w:r>
      <w:r>
        <w:rPr>
          <w:i/>
        </w:rPr>
        <w:t>ara los emisores accionarios)</w:t>
      </w:r>
      <w:r>
        <w:rPr>
          <w:i/>
        </w:rPr>
        <w:tab/>
        <w:t>46</w:t>
      </w:r>
    </w:p>
    <w:p w:rsidR="00E627E7" w:rsidRPr="00871721" w:rsidRDefault="00E627E7" w:rsidP="00E627E7">
      <w:pPr>
        <w:tabs>
          <w:tab w:val="right" w:pos="9881"/>
        </w:tabs>
        <w:spacing w:after="100"/>
        <w:rPr>
          <w:i/>
        </w:rPr>
      </w:pPr>
      <w:r w:rsidRPr="00871721">
        <w:rPr>
          <w:i/>
        </w:rPr>
        <w:t>Prácticas de selección de la Junta Directiva</w:t>
      </w:r>
      <w:r w:rsidRPr="00871721">
        <w:rPr>
          <w:i/>
        </w:rPr>
        <w:tab/>
      </w:r>
      <w:r>
        <w:rPr>
          <w:i/>
        </w:rPr>
        <w:t>47</w:t>
      </w:r>
    </w:p>
    <w:p w:rsidR="00E627E7" w:rsidRPr="00871721" w:rsidRDefault="00E627E7" w:rsidP="00E627E7">
      <w:pPr>
        <w:tabs>
          <w:tab w:val="right" w:pos="9881"/>
        </w:tabs>
        <w:spacing w:after="100"/>
        <w:rPr>
          <w:b/>
          <w:i/>
        </w:rPr>
      </w:pPr>
      <w:r w:rsidRPr="00871721">
        <w:rPr>
          <w:i/>
        </w:rPr>
        <w:t>Personal</w:t>
      </w:r>
      <w:r w:rsidRPr="00871721">
        <w:rPr>
          <w:i/>
        </w:rPr>
        <w:tab/>
      </w:r>
      <w:r>
        <w:rPr>
          <w:i/>
        </w:rPr>
        <w:t>47</w:t>
      </w:r>
    </w:p>
    <w:p w:rsidR="00E627E7" w:rsidRPr="00871721" w:rsidRDefault="00E627E7" w:rsidP="00E627E7">
      <w:pPr>
        <w:tabs>
          <w:tab w:val="right" w:pos="9881"/>
        </w:tabs>
        <w:spacing w:after="100"/>
        <w:rPr>
          <w:b/>
          <w:i/>
        </w:rPr>
      </w:pPr>
      <w:r w:rsidRPr="00871721">
        <w:rPr>
          <w:b/>
          <w:i/>
        </w:rPr>
        <w:t>CAPÍTULO VI: PARTICIPACIONES SIGNIFICATIVAS Y TRANSACCIONES CON PARTES RELACIONADAS</w:t>
      </w:r>
      <w:r w:rsidRPr="00871721">
        <w:rPr>
          <w:b/>
          <w:i/>
        </w:rPr>
        <w:tab/>
      </w:r>
      <w:r>
        <w:rPr>
          <w:i/>
        </w:rPr>
        <w:t>48</w:t>
      </w:r>
    </w:p>
    <w:p w:rsidR="00E627E7" w:rsidRPr="00871721" w:rsidRDefault="00E627E7" w:rsidP="00E627E7">
      <w:pPr>
        <w:tabs>
          <w:tab w:val="right" w:pos="9881"/>
        </w:tabs>
        <w:spacing w:after="100"/>
        <w:rPr>
          <w:b/>
          <w:i/>
        </w:rPr>
      </w:pPr>
      <w:r w:rsidRPr="00871721">
        <w:rPr>
          <w:b/>
          <w:i/>
        </w:rPr>
        <w:t>CAPÍTULO VII: INFORMACIÓN FINANCIERA</w:t>
      </w:r>
      <w:r w:rsidRPr="00871721">
        <w:rPr>
          <w:b/>
          <w:i/>
        </w:rPr>
        <w:tab/>
      </w:r>
      <w:r>
        <w:rPr>
          <w:i/>
        </w:rPr>
        <w:t>49</w:t>
      </w:r>
    </w:p>
    <w:p w:rsidR="00E627E7" w:rsidRPr="00871721" w:rsidRDefault="00E627E7" w:rsidP="00E627E7">
      <w:pPr>
        <w:tabs>
          <w:tab w:val="right" w:pos="9881"/>
        </w:tabs>
        <w:spacing w:after="100"/>
        <w:rPr>
          <w:i/>
        </w:rPr>
      </w:pPr>
      <w:r w:rsidRPr="00871721">
        <w:rPr>
          <w:b/>
          <w:i/>
        </w:rPr>
        <w:t>ANEXOS</w:t>
      </w:r>
      <w:r w:rsidRPr="00871721">
        <w:rPr>
          <w:b/>
          <w:i/>
        </w:rPr>
        <w:tab/>
      </w:r>
      <w:r>
        <w:rPr>
          <w:i/>
        </w:rPr>
        <w:t>50</w:t>
      </w:r>
    </w:p>
    <w:p w:rsidR="00E627E7" w:rsidRPr="00871721" w:rsidRDefault="00E627E7" w:rsidP="00E627E7">
      <w:pPr>
        <w:rPr>
          <w:sz w:val="20"/>
          <w:szCs w:val="20"/>
        </w:rPr>
      </w:pPr>
      <w:r w:rsidRPr="00871721">
        <w:br w:type="page"/>
      </w:r>
    </w:p>
    <w:p w:rsidR="00E627E7" w:rsidRPr="00871721" w:rsidRDefault="00E627E7" w:rsidP="00E627E7">
      <w:pPr>
        <w:keepNext/>
        <w:jc w:val="center"/>
        <w:rPr>
          <w:b/>
          <w:sz w:val="28"/>
          <w:szCs w:val="28"/>
        </w:rPr>
      </w:pPr>
      <w:bookmarkStart w:id="5" w:name="_3dy6vkm" w:colFirst="0" w:colLast="0"/>
      <w:bookmarkEnd w:id="5"/>
      <w:r w:rsidRPr="00871721">
        <w:rPr>
          <w:b/>
          <w:sz w:val="28"/>
          <w:szCs w:val="28"/>
        </w:rPr>
        <w:t>CAPÍTULO I</w:t>
      </w:r>
    </w:p>
    <w:p w:rsidR="00E627E7" w:rsidRPr="00871721" w:rsidRDefault="00E627E7" w:rsidP="00E627E7">
      <w:pPr>
        <w:keepNext/>
        <w:spacing w:before="240" w:after="60"/>
        <w:jc w:val="both"/>
        <w:rPr>
          <w:b/>
          <w:sz w:val="24"/>
          <w:szCs w:val="24"/>
        </w:rPr>
      </w:pPr>
      <w:bookmarkStart w:id="6" w:name="_1t3h5sf" w:colFirst="0" w:colLast="0"/>
      <w:bookmarkEnd w:id="6"/>
      <w:r w:rsidRPr="00871721">
        <w:rPr>
          <w:b/>
          <w:sz w:val="24"/>
          <w:szCs w:val="24"/>
        </w:rPr>
        <w:t>INFORMACIÓN SOBRE LAS EMISIONES, LA OFERTA E IDENTIFICACIÓN DE LOS INVOLUCRADOS EN EL PROCESO DE OFERTA PÚBLICA</w:t>
      </w:r>
    </w:p>
    <w:p w:rsidR="00E627E7" w:rsidRPr="00871721" w:rsidRDefault="00E627E7" w:rsidP="00E627E7">
      <w:pPr>
        <w:jc w:val="both"/>
        <w:rPr>
          <w:b/>
          <w:sz w:val="24"/>
          <w:szCs w:val="24"/>
        </w:rPr>
      </w:pPr>
    </w:p>
    <w:p w:rsidR="00E627E7" w:rsidRPr="00871721" w:rsidRDefault="00E627E7" w:rsidP="00E627E7">
      <w:pPr>
        <w:jc w:val="both"/>
        <w:rPr>
          <w:b/>
          <w:sz w:val="24"/>
          <w:szCs w:val="24"/>
        </w:rPr>
      </w:pPr>
      <w:r w:rsidRPr="00871721">
        <w:rPr>
          <w:b/>
          <w:sz w:val="24"/>
          <w:szCs w:val="24"/>
        </w:rPr>
        <w:t>Emisión de Acciones Comunes</w:t>
      </w:r>
    </w:p>
    <w:p w:rsidR="00E627E7" w:rsidRPr="00871721" w:rsidRDefault="00E627E7" w:rsidP="00E627E7">
      <w:pPr>
        <w:jc w:val="both"/>
      </w:pPr>
    </w:p>
    <w:p w:rsidR="00E627E7" w:rsidRPr="00871721" w:rsidRDefault="00E627E7" w:rsidP="00E627E7">
      <w:pPr>
        <w:jc w:val="both"/>
      </w:pPr>
      <w:r w:rsidRPr="00871721">
        <w:t>Fecha de aprobación de la emisión de acciones:</w:t>
      </w:r>
      <w:r w:rsidRPr="00871721">
        <w:rPr>
          <w:b/>
        </w:rPr>
        <w:tab/>
      </w:r>
      <w:r w:rsidRPr="00871721">
        <w:t>13/10/1976</w:t>
      </w:r>
    </w:p>
    <w:p w:rsidR="00E627E7" w:rsidRPr="00871721" w:rsidRDefault="00E627E7" w:rsidP="00E627E7">
      <w:pPr>
        <w:jc w:val="both"/>
      </w:pPr>
      <w:r w:rsidRPr="00871721">
        <w:t>Tipo de oferta:</w:t>
      </w:r>
      <w:r w:rsidRPr="00871721">
        <w:tab/>
      </w:r>
      <w:r w:rsidRPr="00871721">
        <w:tab/>
      </w:r>
      <w:r w:rsidRPr="00871721">
        <w:tab/>
      </w:r>
      <w:r w:rsidRPr="00871721">
        <w:tab/>
      </w:r>
      <w:r w:rsidRPr="00871721">
        <w:tab/>
        <w:t>Mercado Secundario</w:t>
      </w:r>
    </w:p>
    <w:p w:rsidR="00E627E7" w:rsidRPr="00871721" w:rsidRDefault="00E627E7" w:rsidP="00E627E7">
      <w:pPr>
        <w:jc w:val="both"/>
      </w:pPr>
      <w:r w:rsidRPr="00871721">
        <w:t>Valor nominal de la acción:</w:t>
      </w:r>
      <w:r w:rsidRPr="00871721">
        <w:tab/>
      </w:r>
      <w:r w:rsidRPr="00871721">
        <w:tab/>
      </w:r>
      <w:r w:rsidRPr="00871721">
        <w:tab/>
      </w:r>
      <w:r w:rsidRPr="00871721">
        <w:tab/>
        <w:t>¢1.00 c/u</w:t>
      </w:r>
    </w:p>
    <w:p w:rsidR="00E627E7" w:rsidRPr="00871721" w:rsidRDefault="00E627E7" w:rsidP="00E627E7">
      <w:pPr>
        <w:jc w:val="both"/>
      </w:pPr>
    </w:p>
    <w:p w:rsidR="00E627E7" w:rsidRPr="00871721" w:rsidRDefault="00E627E7" w:rsidP="00E627E7">
      <w:pPr>
        <w:jc w:val="both"/>
      </w:pPr>
      <w:r w:rsidRPr="00871721">
        <w:t>El capital social autorizado, emitido, pagado y en circulación al 31 de diciembre del 2023 consiste de 8,577,370,731 acciones comunes y nominativas con valor nominal de un colón cada una.</w:t>
      </w:r>
    </w:p>
    <w:p w:rsidR="00E627E7" w:rsidRPr="00871721" w:rsidRDefault="00E627E7" w:rsidP="00E627E7">
      <w:pPr>
        <w:jc w:val="both"/>
      </w:pPr>
    </w:p>
    <w:p w:rsidR="00E627E7" w:rsidRPr="00871721" w:rsidRDefault="00E627E7" w:rsidP="00E627E7">
      <w:pPr>
        <w:jc w:val="both"/>
      </w:pPr>
      <w:r w:rsidRPr="00871721">
        <w:t>Los siguientes son algunos indicadores respecto a las acciones:</w:t>
      </w:r>
    </w:p>
    <w:p w:rsidR="00E627E7" w:rsidRPr="00871721" w:rsidRDefault="00E627E7" w:rsidP="00E627E7">
      <w:pPr>
        <w:jc w:val="both"/>
      </w:pPr>
    </w:p>
    <w:tbl>
      <w:tblPr>
        <w:tblW w:w="79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48"/>
        <w:gridCol w:w="2955"/>
      </w:tblGrid>
      <w:tr w:rsidR="00E627E7" w:rsidRPr="00871721" w:rsidTr="00E02D6F">
        <w:trPr>
          <w:cantSplit/>
          <w:trHeight w:val="364"/>
          <w:tblHeader/>
          <w:jc w:val="center"/>
        </w:trPr>
        <w:tc>
          <w:tcPr>
            <w:tcW w:w="4948" w:type="dxa"/>
            <w:vAlign w:val="center"/>
          </w:tcPr>
          <w:p w:rsidR="00E627E7" w:rsidRPr="00871721" w:rsidRDefault="00E627E7" w:rsidP="00E02D6F">
            <w:pPr>
              <w:jc w:val="both"/>
              <w:rPr>
                <w:b/>
              </w:rPr>
            </w:pPr>
            <w:r w:rsidRPr="00871721">
              <w:rPr>
                <w:b/>
              </w:rPr>
              <w:t>Clase de Instrumento</w:t>
            </w:r>
          </w:p>
        </w:tc>
        <w:tc>
          <w:tcPr>
            <w:tcW w:w="2955" w:type="dxa"/>
            <w:vAlign w:val="center"/>
          </w:tcPr>
          <w:p w:rsidR="00E627E7" w:rsidRPr="00871721" w:rsidRDefault="00E627E7" w:rsidP="00E02D6F">
            <w:pPr>
              <w:jc w:val="both"/>
              <w:rPr>
                <w:b/>
              </w:rPr>
            </w:pPr>
            <w:r w:rsidRPr="00871721">
              <w:rPr>
                <w:b/>
              </w:rPr>
              <w:t>Acción Común</w:t>
            </w:r>
          </w:p>
        </w:tc>
      </w:tr>
      <w:tr w:rsidR="00E627E7" w:rsidRPr="00871721" w:rsidTr="00E02D6F">
        <w:trPr>
          <w:cantSplit/>
          <w:trHeight w:val="182"/>
          <w:jc w:val="center"/>
        </w:trPr>
        <w:tc>
          <w:tcPr>
            <w:tcW w:w="4948" w:type="dxa"/>
            <w:vAlign w:val="center"/>
          </w:tcPr>
          <w:p w:rsidR="00E627E7" w:rsidRPr="00871721" w:rsidRDefault="00E627E7" w:rsidP="00E02D6F">
            <w:pPr>
              <w:jc w:val="both"/>
            </w:pPr>
            <w:r w:rsidRPr="00871721">
              <w:t>Código ISIN</w:t>
            </w:r>
          </w:p>
        </w:tc>
        <w:tc>
          <w:tcPr>
            <w:tcW w:w="2955" w:type="dxa"/>
            <w:shd w:val="clear" w:color="auto" w:fill="auto"/>
            <w:vAlign w:val="center"/>
          </w:tcPr>
          <w:p w:rsidR="00E627E7" w:rsidRPr="00871721" w:rsidRDefault="00E627E7" w:rsidP="00E02D6F">
            <w:pPr>
              <w:jc w:val="both"/>
            </w:pPr>
            <w:r w:rsidRPr="00871721">
              <w:t>CRINC00A0010</w:t>
            </w:r>
          </w:p>
        </w:tc>
      </w:tr>
      <w:tr w:rsidR="00E627E7" w:rsidRPr="00871721" w:rsidTr="00E02D6F">
        <w:trPr>
          <w:cantSplit/>
          <w:trHeight w:val="182"/>
          <w:jc w:val="center"/>
        </w:trPr>
        <w:tc>
          <w:tcPr>
            <w:tcW w:w="4948" w:type="dxa"/>
            <w:vAlign w:val="center"/>
          </w:tcPr>
          <w:p w:rsidR="00E627E7" w:rsidRPr="00871721" w:rsidRDefault="00E627E7" w:rsidP="00E02D6F">
            <w:pPr>
              <w:jc w:val="both"/>
            </w:pPr>
            <w:r w:rsidRPr="00871721">
              <w:t>Nemotécnico</w:t>
            </w:r>
          </w:p>
        </w:tc>
        <w:tc>
          <w:tcPr>
            <w:tcW w:w="2955" w:type="dxa"/>
            <w:shd w:val="clear" w:color="auto" w:fill="auto"/>
            <w:vAlign w:val="center"/>
          </w:tcPr>
          <w:p w:rsidR="00E627E7" w:rsidRPr="00871721" w:rsidRDefault="00E627E7" w:rsidP="00E02D6F">
            <w:pPr>
              <w:jc w:val="both"/>
            </w:pPr>
            <w:proofErr w:type="spellStart"/>
            <w:r w:rsidRPr="00871721">
              <w:t>Acom</w:t>
            </w:r>
            <w:proofErr w:type="spellEnd"/>
          </w:p>
        </w:tc>
      </w:tr>
      <w:tr w:rsidR="00E627E7" w:rsidRPr="00871721" w:rsidTr="00E02D6F">
        <w:trPr>
          <w:cantSplit/>
          <w:trHeight w:val="364"/>
          <w:jc w:val="center"/>
        </w:trPr>
        <w:tc>
          <w:tcPr>
            <w:tcW w:w="4948" w:type="dxa"/>
            <w:vAlign w:val="center"/>
          </w:tcPr>
          <w:p w:rsidR="00E627E7" w:rsidRPr="00871721" w:rsidRDefault="00E627E7" w:rsidP="00E02D6F">
            <w:pPr>
              <w:jc w:val="both"/>
            </w:pPr>
            <w:r w:rsidRPr="00871721">
              <w:t>Monto de la emisión y moneda</w:t>
            </w:r>
          </w:p>
        </w:tc>
        <w:tc>
          <w:tcPr>
            <w:tcW w:w="2955" w:type="dxa"/>
            <w:vAlign w:val="center"/>
          </w:tcPr>
          <w:p w:rsidR="00E627E7" w:rsidRPr="00871721" w:rsidRDefault="00E627E7" w:rsidP="00E02D6F">
            <w:pPr>
              <w:jc w:val="both"/>
            </w:pPr>
            <w:r w:rsidRPr="00871721">
              <w:t>¢8.577.370.731</w:t>
            </w:r>
          </w:p>
        </w:tc>
      </w:tr>
      <w:tr w:rsidR="00E627E7" w:rsidRPr="00871721" w:rsidTr="00E02D6F">
        <w:trPr>
          <w:cantSplit/>
          <w:trHeight w:val="364"/>
          <w:jc w:val="center"/>
        </w:trPr>
        <w:tc>
          <w:tcPr>
            <w:tcW w:w="4948" w:type="dxa"/>
            <w:vAlign w:val="center"/>
          </w:tcPr>
          <w:p w:rsidR="00E627E7" w:rsidRPr="00871721" w:rsidRDefault="00E627E7" w:rsidP="00E02D6F">
            <w:pPr>
              <w:jc w:val="both"/>
            </w:pPr>
            <w:r w:rsidRPr="00871721">
              <w:t xml:space="preserve">Tipo de oferta </w:t>
            </w:r>
          </w:p>
        </w:tc>
        <w:tc>
          <w:tcPr>
            <w:tcW w:w="2955" w:type="dxa"/>
            <w:vAlign w:val="center"/>
          </w:tcPr>
          <w:p w:rsidR="00E627E7" w:rsidRPr="00871721" w:rsidRDefault="00E627E7" w:rsidP="00E02D6F">
            <w:pPr>
              <w:jc w:val="both"/>
            </w:pPr>
            <w:r w:rsidRPr="00871721">
              <w:t>Mercado Secundario</w:t>
            </w:r>
          </w:p>
        </w:tc>
      </w:tr>
      <w:tr w:rsidR="00E627E7" w:rsidRPr="00871721" w:rsidTr="00E02D6F">
        <w:trPr>
          <w:cantSplit/>
          <w:trHeight w:val="364"/>
          <w:jc w:val="center"/>
        </w:trPr>
        <w:tc>
          <w:tcPr>
            <w:tcW w:w="4948" w:type="dxa"/>
            <w:vAlign w:val="center"/>
          </w:tcPr>
          <w:p w:rsidR="00E627E7" w:rsidRPr="00871721" w:rsidRDefault="00E627E7" w:rsidP="00E02D6F">
            <w:pPr>
              <w:jc w:val="both"/>
            </w:pPr>
            <w:r w:rsidRPr="00871721">
              <w:t>Valor nominal</w:t>
            </w:r>
          </w:p>
        </w:tc>
        <w:tc>
          <w:tcPr>
            <w:tcW w:w="2955" w:type="dxa"/>
            <w:vAlign w:val="center"/>
          </w:tcPr>
          <w:p w:rsidR="00E627E7" w:rsidRPr="00871721" w:rsidRDefault="00E627E7" w:rsidP="00E02D6F">
            <w:pPr>
              <w:jc w:val="both"/>
            </w:pPr>
            <w:r w:rsidRPr="00871721">
              <w:t>¢1 por acción</w:t>
            </w:r>
          </w:p>
        </w:tc>
      </w:tr>
      <w:tr w:rsidR="00E627E7" w:rsidRPr="00871721" w:rsidTr="00E02D6F">
        <w:trPr>
          <w:cantSplit/>
          <w:trHeight w:val="322"/>
          <w:jc w:val="center"/>
        </w:trPr>
        <w:tc>
          <w:tcPr>
            <w:tcW w:w="4948" w:type="dxa"/>
            <w:vAlign w:val="center"/>
          </w:tcPr>
          <w:p w:rsidR="00E627E7" w:rsidRPr="00871721" w:rsidRDefault="00E627E7" w:rsidP="00E02D6F">
            <w:pPr>
              <w:jc w:val="both"/>
            </w:pPr>
            <w:r w:rsidRPr="00871721">
              <w:t xml:space="preserve">Cantidad de acciones físicas </w:t>
            </w:r>
          </w:p>
        </w:tc>
        <w:tc>
          <w:tcPr>
            <w:tcW w:w="2955" w:type="dxa"/>
            <w:shd w:val="clear" w:color="auto" w:fill="auto"/>
            <w:vAlign w:val="center"/>
          </w:tcPr>
          <w:p w:rsidR="00E627E7" w:rsidRPr="00871721" w:rsidRDefault="00E627E7" w:rsidP="00E02D6F">
            <w:pPr>
              <w:jc w:val="both"/>
            </w:pPr>
            <w:r w:rsidRPr="00871721">
              <w:t>578,339,814</w:t>
            </w:r>
          </w:p>
        </w:tc>
      </w:tr>
      <w:tr w:rsidR="00E627E7" w:rsidRPr="00871721" w:rsidTr="00E02D6F">
        <w:trPr>
          <w:cantSplit/>
          <w:trHeight w:val="383"/>
          <w:jc w:val="center"/>
        </w:trPr>
        <w:tc>
          <w:tcPr>
            <w:tcW w:w="4948" w:type="dxa"/>
            <w:vAlign w:val="center"/>
          </w:tcPr>
          <w:p w:rsidR="00E627E7" w:rsidRPr="00871721" w:rsidRDefault="00E627E7" w:rsidP="00E02D6F">
            <w:pPr>
              <w:jc w:val="both"/>
            </w:pPr>
            <w:r w:rsidRPr="00871721">
              <w:t>Cantidad de acciones desmaterializadas</w:t>
            </w:r>
          </w:p>
        </w:tc>
        <w:tc>
          <w:tcPr>
            <w:tcW w:w="2955" w:type="dxa"/>
            <w:shd w:val="clear" w:color="auto" w:fill="auto"/>
            <w:vAlign w:val="center"/>
          </w:tcPr>
          <w:p w:rsidR="00E627E7" w:rsidRPr="00871721" w:rsidRDefault="00E627E7" w:rsidP="00E02D6F">
            <w:pPr>
              <w:jc w:val="both"/>
            </w:pPr>
            <w:r w:rsidRPr="00871721">
              <w:t>7,999,030,917</w:t>
            </w:r>
          </w:p>
        </w:tc>
      </w:tr>
      <w:tr w:rsidR="00E627E7" w:rsidRPr="00871721" w:rsidTr="00E02D6F">
        <w:trPr>
          <w:cantSplit/>
          <w:trHeight w:val="319"/>
          <w:jc w:val="center"/>
        </w:trPr>
        <w:tc>
          <w:tcPr>
            <w:tcW w:w="4948" w:type="dxa"/>
            <w:vAlign w:val="center"/>
          </w:tcPr>
          <w:p w:rsidR="00E627E7" w:rsidRPr="00871721" w:rsidRDefault="00E627E7" w:rsidP="00E02D6F">
            <w:pPr>
              <w:jc w:val="both"/>
            </w:pPr>
            <w:r w:rsidRPr="00871721">
              <w:t>Utilidad Básica por acción  2023  1/</w:t>
            </w:r>
          </w:p>
        </w:tc>
        <w:tc>
          <w:tcPr>
            <w:tcW w:w="2955" w:type="dxa"/>
            <w:shd w:val="clear" w:color="auto" w:fill="auto"/>
            <w:vAlign w:val="center"/>
          </w:tcPr>
          <w:p w:rsidR="00E627E7" w:rsidRPr="00871721" w:rsidRDefault="00E627E7" w:rsidP="00E02D6F">
            <w:pPr>
              <w:jc w:val="both"/>
            </w:pPr>
            <w:r w:rsidRPr="00871721">
              <w:t>¢1,79</w:t>
            </w:r>
          </w:p>
        </w:tc>
      </w:tr>
      <w:tr w:rsidR="00E627E7" w:rsidRPr="00871721" w:rsidTr="00E02D6F">
        <w:trPr>
          <w:cantSplit/>
          <w:trHeight w:val="410"/>
          <w:jc w:val="center"/>
        </w:trPr>
        <w:tc>
          <w:tcPr>
            <w:tcW w:w="4948" w:type="dxa"/>
            <w:vAlign w:val="center"/>
          </w:tcPr>
          <w:p w:rsidR="00E627E7" w:rsidRPr="00871721" w:rsidRDefault="00E627E7" w:rsidP="00E02D6F">
            <w:pPr>
              <w:jc w:val="both"/>
            </w:pPr>
            <w:r w:rsidRPr="00871721">
              <w:t>Utilidad Básica por acción  2022 1/</w:t>
            </w:r>
          </w:p>
        </w:tc>
        <w:tc>
          <w:tcPr>
            <w:tcW w:w="2955" w:type="dxa"/>
            <w:shd w:val="clear" w:color="auto" w:fill="auto"/>
            <w:vAlign w:val="center"/>
          </w:tcPr>
          <w:p w:rsidR="00E627E7" w:rsidRPr="00871721" w:rsidRDefault="00E627E7" w:rsidP="00E02D6F">
            <w:pPr>
              <w:jc w:val="both"/>
            </w:pPr>
            <w:r w:rsidRPr="00871721">
              <w:t>¢2,55</w:t>
            </w:r>
          </w:p>
        </w:tc>
      </w:tr>
      <w:tr w:rsidR="00E627E7" w:rsidRPr="00871721" w:rsidTr="00E02D6F">
        <w:trPr>
          <w:cantSplit/>
          <w:trHeight w:val="364"/>
          <w:jc w:val="center"/>
        </w:trPr>
        <w:tc>
          <w:tcPr>
            <w:tcW w:w="4948" w:type="dxa"/>
            <w:vAlign w:val="center"/>
          </w:tcPr>
          <w:p w:rsidR="00E627E7" w:rsidRPr="00871721" w:rsidRDefault="00E627E7" w:rsidP="00E02D6F">
            <w:pPr>
              <w:jc w:val="both"/>
            </w:pPr>
            <w:r w:rsidRPr="00871721">
              <w:t>Forma de representación</w:t>
            </w:r>
          </w:p>
        </w:tc>
        <w:tc>
          <w:tcPr>
            <w:tcW w:w="2955" w:type="dxa"/>
            <w:vAlign w:val="center"/>
          </w:tcPr>
          <w:p w:rsidR="00E627E7" w:rsidRPr="00871721" w:rsidRDefault="00E627E7" w:rsidP="00E02D6F">
            <w:pPr>
              <w:jc w:val="both"/>
            </w:pPr>
            <w:r w:rsidRPr="00871721">
              <w:t xml:space="preserve">Física / </w:t>
            </w:r>
            <w:r w:rsidRPr="00871721">
              <w:rPr>
                <w:color w:val="000000"/>
              </w:rPr>
              <w:t>Anotación en cuenta</w:t>
            </w:r>
          </w:p>
        </w:tc>
      </w:tr>
      <w:tr w:rsidR="00E627E7" w:rsidRPr="00871721" w:rsidTr="00E02D6F">
        <w:trPr>
          <w:cantSplit/>
          <w:trHeight w:val="335"/>
          <w:jc w:val="center"/>
        </w:trPr>
        <w:tc>
          <w:tcPr>
            <w:tcW w:w="4948" w:type="dxa"/>
            <w:vAlign w:val="center"/>
          </w:tcPr>
          <w:p w:rsidR="00E627E7" w:rsidRPr="00871721" w:rsidRDefault="00E627E7" w:rsidP="00E02D6F">
            <w:pPr>
              <w:jc w:val="both"/>
            </w:pPr>
            <w:r w:rsidRPr="00871721">
              <w:t>Forma de colocación (mercado secundario)</w:t>
            </w:r>
          </w:p>
        </w:tc>
        <w:tc>
          <w:tcPr>
            <w:tcW w:w="2955" w:type="dxa"/>
            <w:shd w:val="clear" w:color="auto" w:fill="auto"/>
            <w:vAlign w:val="center"/>
          </w:tcPr>
          <w:p w:rsidR="00E627E7" w:rsidRPr="00871721" w:rsidRDefault="00E627E7" w:rsidP="00E02D6F">
            <w:pPr>
              <w:jc w:val="both"/>
            </w:pPr>
            <w:r w:rsidRPr="00871721">
              <w:t>Bolsa Nacional de Valores</w:t>
            </w:r>
          </w:p>
        </w:tc>
      </w:tr>
      <w:tr w:rsidR="00E627E7" w:rsidRPr="00871721" w:rsidTr="00E02D6F">
        <w:trPr>
          <w:cantSplit/>
          <w:trHeight w:val="140"/>
          <w:jc w:val="center"/>
        </w:trPr>
        <w:tc>
          <w:tcPr>
            <w:tcW w:w="4948" w:type="dxa"/>
            <w:vAlign w:val="center"/>
          </w:tcPr>
          <w:p w:rsidR="00E627E7" w:rsidRPr="00871721" w:rsidRDefault="00E627E7" w:rsidP="00E02D6F">
            <w:pPr>
              <w:jc w:val="both"/>
            </w:pPr>
            <w:r w:rsidRPr="00871721">
              <w:t>Derechos de los accionistas</w:t>
            </w:r>
          </w:p>
        </w:tc>
        <w:tc>
          <w:tcPr>
            <w:tcW w:w="2955" w:type="dxa"/>
            <w:shd w:val="clear" w:color="auto" w:fill="auto"/>
            <w:vAlign w:val="center"/>
          </w:tcPr>
          <w:p w:rsidR="00E627E7" w:rsidRPr="00871721" w:rsidRDefault="00E627E7" w:rsidP="00E02D6F">
            <w:pPr>
              <w:jc w:val="both"/>
            </w:pPr>
            <w:r w:rsidRPr="00871721">
              <w:t xml:space="preserve">Código de Comercio, </w:t>
            </w:r>
          </w:p>
          <w:p w:rsidR="00E627E7" w:rsidRPr="00871721" w:rsidRDefault="00E627E7" w:rsidP="00E02D6F">
            <w:pPr>
              <w:jc w:val="both"/>
            </w:pPr>
            <w:r w:rsidRPr="00871721">
              <w:t>Sección II y III</w:t>
            </w:r>
          </w:p>
        </w:tc>
      </w:tr>
      <w:tr w:rsidR="00E627E7" w:rsidRPr="00871721" w:rsidTr="00E02D6F">
        <w:trPr>
          <w:cantSplit/>
          <w:trHeight w:val="140"/>
          <w:jc w:val="center"/>
        </w:trPr>
        <w:tc>
          <w:tcPr>
            <w:tcW w:w="4948" w:type="dxa"/>
          </w:tcPr>
          <w:p w:rsidR="00E627E7" w:rsidRPr="00871721" w:rsidRDefault="00E627E7" w:rsidP="00E02D6F">
            <w:r w:rsidRPr="00871721">
              <w:t>Capitalización</w:t>
            </w:r>
          </w:p>
        </w:tc>
        <w:tc>
          <w:tcPr>
            <w:tcW w:w="2955" w:type="dxa"/>
            <w:shd w:val="clear" w:color="auto" w:fill="auto"/>
            <w:vAlign w:val="center"/>
          </w:tcPr>
          <w:p w:rsidR="00E627E7" w:rsidRPr="00871721" w:rsidRDefault="00E627E7" w:rsidP="00E02D6F">
            <w:bookmarkStart w:id="7" w:name="_4d34og8" w:colFirst="0" w:colLast="0"/>
            <w:bookmarkEnd w:id="7"/>
            <w:r w:rsidRPr="00871721">
              <w:t>No se presentan capitalizaciones en los últimos cuatro períodos fiscales</w:t>
            </w:r>
          </w:p>
        </w:tc>
      </w:tr>
      <w:tr w:rsidR="00E627E7" w:rsidRPr="00871721" w:rsidTr="00E02D6F">
        <w:trPr>
          <w:cantSplit/>
          <w:trHeight w:val="140"/>
          <w:jc w:val="center"/>
        </w:trPr>
        <w:tc>
          <w:tcPr>
            <w:tcW w:w="4948" w:type="dxa"/>
            <w:vAlign w:val="center"/>
          </w:tcPr>
          <w:p w:rsidR="00E627E7" w:rsidRPr="00871721" w:rsidRDefault="00E627E7" w:rsidP="00E02D6F">
            <w:pPr>
              <w:jc w:val="both"/>
            </w:pPr>
            <w:r w:rsidRPr="00871721">
              <w:t xml:space="preserve">Capital autorizado no suscrito </w:t>
            </w:r>
          </w:p>
        </w:tc>
        <w:tc>
          <w:tcPr>
            <w:tcW w:w="2955" w:type="dxa"/>
            <w:shd w:val="clear" w:color="auto" w:fill="auto"/>
            <w:vAlign w:val="center"/>
          </w:tcPr>
          <w:p w:rsidR="00E627E7" w:rsidRPr="00871721" w:rsidRDefault="00E627E7" w:rsidP="00E02D6F">
            <w:pPr>
              <w:jc w:val="both"/>
            </w:pPr>
            <w:r w:rsidRPr="00871721">
              <w:t>¢0,00</w:t>
            </w:r>
          </w:p>
        </w:tc>
      </w:tr>
    </w:tbl>
    <w:p w:rsidR="00E627E7" w:rsidRPr="00871721" w:rsidRDefault="00E627E7" w:rsidP="00E627E7">
      <w:pPr>
        <w:jc w:val="both"/>
        <w:rPr>
          <w:sz w:val="18"/>
          <w:szCs w:val="18"/>
        </w:rPr>
      </w:pPr>
    </w:p>
    <w:p w:rsidR="00E627E7" w:rsidRPr="00871721" w:rsidRDefault="00E627E7" w:rsidP="00E627E7">
      <w:pPr>
        <w:jc w:val="both"/>
        <w:rPr>
          <w:b/>
        </w:rPr>
      </w:pPr>
      <w:r w:rsidRPr="00871721">
        <w:rPr>
          <w:sz w:val="18"/>
          <w:szCs w:val="18"/>
        </w:rPr>
        <w:t>1/ Basado en la Utilidad Neta del Período atribuible a Accionistas de la entidad controladora entre la cantidad de acciones (Estados Financieros Auditados diciembre 2023)</w:t>
      </w:r>
    </w:p>
    <w:p w:rsidR="00E627E7" w:rsidRPr="00871721" w:rsidRDefault="00E627E7" w:rsidP="00E627E7">
      <w:pPr>
        <w:jc w:val="both"/>
        <w:rPr>
          <w:b/>
        </w:rPr>
      </w:pPr>
    </w:p>
    <w:p w:rsidR="00E627E7" w:rsidRDefault="00E627E7" w:rsidP="00E627E7">
      <w:pPr>
        <w:jc w:val="both"/>
      </w:pPr>
    </w:p>
    <w:p w:rsidR="00E627E7" w:rsidRPr="0023565C" w:rsidRDefault="00E627E7" w:rsidP="00E627E7">
      <w:pPr>
        <w:jc w:val="both"/>
        <w:rPr>
          <w:b/>
        </w:rPr>
      </w:pPr>
      <w:r w:rsidRPr="0023565C">
        <w:rPr>
          <w:b/>
        </w:rPr>
        <w:t>Prelación de pagos</w:t>
      </w:r>
    </w:p>
    <w:p w:rsidR="00E627E7" w:rsidRDefault="00E627E7" w:rsidP="00E627E7">
      <w:pPr>
        <w:jc w:val="both"/>
      </w:pPr>
      <w:r>
        <w:t xml:space="preserve">HOLCIM aplicará la siguiente regla de prelación de pagos a sus acreedores. De conformidad con lo establecido en el Artículo 34 de la Ley Concursal de Costa Rica, el orden de prelación de pagos de los créditos concursales ante un eventual proceso de fase concursal </w:t>
      </w:r>
      <w:proofErr w:type="spellStart"/>
      <w:r>
        <w:t>liquidatoria</w:t>
      </w:r>
      <w:proofErr w:type="spellEnd"/>
      <w:r>
        <w:t xml:space="preserve"> de la compañía, sería el siguiente: </w:t>
      </w:r>
    </w:p>
    <w:p w:rsidR="00E627E7" w:rsidRDefault="00E627E7" w:rsidP="00E627E7">
      <w:pPr>
        <w:jc w:val="both"/>
      </w:pPr>
    </w:p>
    <w:p w:rsidR="00E627E7" w:rsidRDefault="00E627E7" w:rsidP="00E627E7">
      <w:pPr>
        <w:jc w:val="both"/>
      </w:pPr>
      <w:r>
        <w:t xml:space="preserve">ARTÍCULO 34- Créditos concursales </w:t>
      </w:r>
    </w:p>
    <w:p w:rsidR="00E627E7" w:rsidRDefault="00E627E7" w:rsidP="00E627E7">
      <w:pPr>
        <w:jc w:val="both"/>
      </w:pPr>
      <w:r>
        <w:t xml:space="preserve">34.1. Clases y prelación. Salvo disposición legal en contrario, los créditos concursales tendrán, por su orden, los siguientes grados de preferencia: 1) Créditos con privilegio especial, 2) Créditos con privilegio general, 3) Créditos comunes, 4) Créditos subordinados. </w:t>
      </w:r>
    </w:p>
    <w:p w:rsidR="00E627E7" w:rsidRDefault="00E627E7" w:rsidP="00E627E7">
      <w:pPr>
        <w:jc w:val="both"/>
      </w:pPr>
      <w:r>
        <w:t xml:space="preserve">34.2. Créditos con privilegio especial. Los acreedores de créditos con privilegio especial tendrán un derecho preferente para el pago de sus créditos, con el producto de la enajenación de los bienes sobre los cuales recae el privilegio, salvo que por ley se disponga otro criterio de prelación para casos especiales. Podrán renunciar a su garantía total o parcialmente. Se considerarán créditos con privilegio especial, los garantizados por: 1) Hipotecas, 2) Prendas, 3) Fideicomisos de garantía, 4) Garantías mobiliarias, salvo las provenientes de embargos judiciales por créditos que no gozaban de ellas, 5) Derecho de retención, cuando el acreedor esté en ejercicio de él, 6) Bienes gananciales, 7) Los demás que disponga la ley para supuestos especiales. Cuando uno o varios bienes garanticen diferentes créditos, la preferencia de pago será determinada por la ley sustantiva correspondiente. Se pagarán en primer lugar los créditos gravados con hipotecas o prendas legales, sobre los garantizados con hipotecas o prendas de otro tipo. En todo caso, el derecho ganancial se entenderá subordinado al pago de otros créditos con privilegio especial que graven los bienes afectados. Si ejecutada la garantía quedara algún saldo a favor del concurso, formará parte del acervo concursal. Si quedara un saldo al descubierto a favor del acreedor, se considerará crédito común. De lo obtenido por la enajenación de los bienes garantes, se reservará un diez por ciento (10%) en caso de que no existan otros bienes suficientes para pagar en todo o en parte los créditos alimentarios, laborales y los correspondientes a indemnizaciones por daño a la salud y vida de las personas. Si luego de cubrir estos créditos quedara un remanente, este será distribuido proporcionalmente entre cada uno de los acreedores con privilegio especial que hayan aportado a la reserva. </w:t>
      </w:r>
    </w:p>
    <w:p w:rsidR="00E627E7" w:rsidRDefault="00E627E7" w:rsidP="00E627E7">
      <w:pPr>
        <w:jc w:val="both"/>
      </w:pPr>
      <w:r>
        <w:t xml:space="preserve">34.3. Créditos con privilegio general. Los acreedores con privilegio general tendrán derecho preferente para el reconocimiento y pago de sus créditos, sobre acreedores comunes y subordinados, con el producto de la totalidad del patrimonio del concurso no afectado por privilegios especiales. Podrán renunciar a su garantía total o parcialmente. Se considerarán créditos con privilegio general: 1) Los alimentarios, 2) Los laborales, 3) Las indemnizaciones concernientes a daños a la salud o la vida, no cubiertas por seguros, 4) Los demás dispuestos por la ley para supuestos especiales. A falta de disposición legal concreta, para su reconocimiento y pago, se respetará el orden indicado. De existir diversos acreedores dentro de una misma categoría de créditos con privilegio general, entre ellos regirá el principio de igualdad concursal. Los acreedores alimentarios y laborales serán pagados inmediatamente por el concurso en cuanto a sus derechos dinerarios, cuando así lo requieran en virtud de resolución ejecutoria que los establezca. De no satisfacerse los créditos en forma inmediata, el interesado lo comunicará al tribunal, que adoptará las medidas legales inmediatas para el cumplimiento de las obligaciones. Los acreedores alimentarios y laborales, con resolución ejecutoria a favor que no hayan iniciado su ejecución, también podrán requerir directamente el pago al concurso en los términos antes indicados. </w:t>
      </w:r>
    </w:p>
    <w:p w:rsidR="00E627E7" w:rsidRDefault="00E627E7" w:rsidP="00E627E7">
      <w:pPr>
        <w:jc w:val="both"/>
      </w:pPr>
      <w:r>
        <w:t xml:space="preserve">34.4. Créditos comunes. Se considerarán créditos concursales comunes aquellos no incluidos como privilegiados especiales o generales, ni subordinados. </w:t>
      </w:r>
    </w:p>
    <w:p w:rsidR="00E627E7" w:rsidRDefault="00E627E7" w:rsidP="00E627E7">
      <w:pPr>
        <w:jc w:val="both"/>
      </w:pPr>
      <w:r>
        <w:t>34.5. Créditos subordinados. Los créditos subordinados serán pagados, de ser posible, luego de cubiertos en su totalidad los créditos comunes. Serán subordinados los siguientes créditos: 1) Aquellos a los que el acreedor voluntariamente les asigne esa condición, 2) Los de aquellas personas especialmente relacionadas con el concursado, salvo que se trate de créditos concursales con privilegio general, 3) Los demás a los que la ley les otorgue esa calificación.</w:t>
      </w:r>
    </w:p>
    <w:p w:rsidR="00E627E7" w:rsidRPr="00871721" w:rsidRDefault="00E627E7" w:rsidP="00E627E7">
      <w:pPr>
        <w:jc w:val="both"/>
        <w:rPr>
          <w:b/>
          <w:i/>
        </w:rPr>
      </w:pPr>
    </w:p>
    <w:p w:rsidR="00E627E7" w:rsidRPr="00871721" w:rsidRDefault="00E627E7" w:rsidP="00E627E7">
      <w:pPr>
        <w:jc w:val="both"/>
        <w:rPr>
          <w:b/>
          <w:i/>
        </w:rPr>
      </w:pPr>
      <w:r w:rsidRPr="00871721">
        <w:rPr>
          <w:b/>
          <w:i/>
        </w:rPr>
        <w:t>Agente de pago</w:t>
      </w:r>
    </w:p>
    <w:p w:rsidR="00E627E7" w:rsidRPr="00871721" w:rsidRDefault="00E627E7" w:rsidP="00E627E7">
      <w:pPr>
        <w:jc w:val="both"/>
      </w:pPr>
    </w:p>
    <w:p w:rsidR="00E627E7" w:rsidRPr="00871721" w:rsidRDefault="00E627E7" w:rsidP="00E627E7">
      <w:pPr>
        <w:jc w:val="both"/>
        <w:rPr>
          <w:b/>
        </w:rPr>
      </w:pPr>
      <w:r w:rsidRPr="00871721">
        <w:t>El pago de los dividendos se realiza directamente a las cuentas clientes de los accionistas a solicitud de éstos.</w:t>
      </w:r>
    </w:p>
    <w:p w:rsidR="00E627E7" w:rsidRPr="00871721" w:rsidRDefault="00E627E7" w:rsidP="00E627E7">
      <w:pPr>
        <w:jc w:val="both"/>
        <w:rPr>
          <w:b/>
        </w:rPr>
      </w:pPr>
    </w:p>
    <w:p w:rsidR="00E627E7" w:rsidRPr="00871721" w:rsidRDefault="00E627E7" w:rsidP="00E627E7">
      <w:pPr>
        <w:jc w:val="both"/>
        <w:rPr>
          <w:b/>
          <w:i/>
        </w:rPr>
      </w:pPr>
      <w:bookmarkStart w:id="8" w:name="_2s8eyo1" w:colFirst="0" w:colLast="0"/>
      <w:bookmarkEnd w:id="8"/>
      <w:r w:rsidRPr="00871721">
        <w:rPr>
          <w:b/>
          <w:i/>
        </w:rPr>
        <w:t>Derechos patrimoniales y corporativos de los accionistas</w:t>
      </w:r>
    </w:p>
    <w:p w:rsidR="00E627E7" w:rsidRPr="00871721" w:rsidRDefault="00E627E7" w:rsidP="00E627E7">
      <w:pPr>
        <w:jc w:val="both"/>
      </w:pPr>
    </w:p>
    <w:p w:rsidR="00E627E7" w:rsidRPr="00871721" w:rsidRDefault="00E627E7" w:rsidP="00E627E7">
      <w:pPr>
        <w:jc w:val="both"/>
      </w:pPr>
      <w:r w:rsidRPr="00871721">
        <w:t>No existe ningún derecho patrimonial ni corporativo, de forma que los accionistas no tienen más que los derechos propios de los accionistas comunes conforme a lo establecido en el Código de Comercio, a saber, derecho al dividendo y a la cuota de liquidación eventual.  La empresa no cuenta con acciones preferidas o preferentes.</w:t>
      </w:r>
    </w:p>
    <w:p w:rsidR="00E627E7" w:rsidRPr="00871721" w:rsidRDefault="00E627E7" w:rsidP="00E627E7">
      <w:pPr>
        <w:jc w:val="both"/>
        <w:rPr>
          <w:b/>
          <w:i/>
        </w:rPr>
      </w:pPr>
    </w:p>
    <w:p w:rsidR="00E627E7" w:rsidRPr="00871721" w:rsidRDefault="00E627E7" w:rsidP="00E627E7">
      <w:pPr>
        <w:jc w:val="both"/>
        <w:rPr>
          <w:b/>
          <w:i/>
        </w:rPr>
      </w:pPr>
      <w:r w:rsidRPr="00871721">
        <w:rPr>
          <w:b/>
          <w:i/>
        </w:rPr>
        <w:t>Sistema de voto</w:t>
      </w:r>
    </w:p>
    <w:p w:rsidR="00E627E7" w:rsidRPr="00871721" w:rsidRDefault="00E627E7" w:rsidP="00E627E7">
      <w:pPr>
        <w:jc w:val="both"/>
        <w:rPr>
          <w:b/>
        </w:rPr>
      </w:pPr>
    </w:p>
    <w:p w:rsidR="00E627E7" w:rsidRPr="00871721" w:rsidRDefault="00E627E7" w:rsidP="00E627E7">
      <w:pPr>
        <w:jc w:val="both"/>
      </w:pPr>
      <w:r w:rsidRPr="00871721">
        <w:t>El quórum en primera convocatoria para las Asambleas Ordinarias de Accionistas será del 50% del capital más una acción, y para las Asambleas Extraordinarias será de tres cuartas partes del capital.  Los acuerdos en Asamblea deberán ser tomados por el 51% del capital social.  El voto es computado con base en un voto por acción.</w:t>
      </w:r>
    </w:p>
    <w:p w:rsidR="00E627E7" w:rsidRPr="00871721" w:rsidRDefault="00E627E7" w:rsidP="00E627E7">
      <w:pPr>
        <w:jc w:val="both"/>
      </w:pPr>
    </w:p>
    <w:p w:rsidR="00E627E7" w:rsidRPr="00871721" w:rsidRDefault="00E627E7" w:rsidP="00E627E7">
      <w:pPr>
        <w:jc w:val="both"/>
      </w:pPr>
      <w:r w:rsidRPr="00871721">
        <w:t>El libro de accionistas se cerrará a criterio de la empresa, de ocho a dos días hábiles antes de la realización de la Asamblea, para efectos de definir los accionistas que participarán en ella.  La fecha exacta se comunicará oportunamente por medio de la Bolsa Nacional de Valores y los Puestos de Bolsa y la debida publicación de la Convocatoria en periódico de circulación nacional con 8 días de antelación a la fecha de la Asamblea de Accionistas.</w:t>
      </w:r>
    </w:p>
    <w:p w:rsidR="00E627E7" w:rsidRPr="00871721" w:rsidRDefault="00E627E7" w:rsidP="00E627E7">
      <w:pPr>
        <w:jc w:val="both"/>
        <w:rPr>
          <w:b/>
          <w:i/>
        </w:rPr>
      </w:pPr>
    </w:p>
    <w:p w:rsidR="00E627E7" w:rsidRPr="00871721" w:rsidRDefault="00E627E7" w:rsidP="00E627E7">
      <w:pPr>
        <w:jc w:val="both"/>
        <w:rPr>
          <w:b/>
          <w:i/>
        </w:rPr>
      </w:pPr>
      <w:r w:rsidRPr="00871721">
        <w:rPr>
          <w:b/>
          <w:i/>
        </w:rPr>
        <w:t>Desmaterialización de acciones</w:t>
      </w:r>
    </w:p>
    <w:p w:rsidR="00E627E7" w:rsidRPr="00871721" w:rsidRDefault="00E627E7" w:rsidP="00E627E7">
      <w:pPr>
        <w:jc w:val="both"/>
        <w:rPr>
          <w:b/>
        </w:rPr>
      </w:pPr>
    </w:p>
    <w:p w:rsidR="00E627E7" w:rsidRPr="00871721" w:rsidRDefault="00E627E7" w:rsidP="00E627E7">
      <w:pPr>
        <w:jc w:val="both"/>
        <w:rPr>
          <w:color w:val="FF0000"/>
        </w:rPr>
      </w:pPr>
      <w:r w:rsidRPr="00871721">
        <w:t xml:space="preserve">El proceso de desmaterialización consiste en la sustitución de los títulos accionarios físicos de cada accionista que así lo desee, por una anotación en una cuenta creada a su nombre en </w:t>
      </w:r>
      <w:proofErr w:type="spellStart"/>
      <w:r w:rsidRPr="00871721">
        <w:t>Interclear</w:t>
      </w:r>
      <w:proofErr w:type="spellEnd"/>
      <w:r w:rsidRPr="00871721">
        <w:t xml:space="preserve"> Central de Valores S.A.</w:t>
      </w:r>
    </w:p>
    <w:p w:rsidR="00E627E7" w:rsidRPr="00871721" w:rsidRDefault="00E627E7" w:rsidP="00E627E7">
      <w:pPr>
        <w:jc w:val="both"/>
      </w:pPr>
    </w:p>
    <w:p w:rsidR="00E627E7" w:rsidRPr="00871721" w:rsidRDefault="00E627E7" w:rsidP="00E627E7">
      <w:pPr>
        <w:jc w:val="both"/>
        <w:rPr>
          <w:color w:val="FF0000"/>
        </w:rPr>
      </w:pPr>
      <w:r w:rsidRPr="00871721">
        <w:t xml:space="preserve">De conformidad con el Artículo 138 de la Ley Reguladora del Mercado de Valores, el propietario de valores accionarios representados por medio de certificados accionarios inmovilizados en </w:t>
      </w:r>
      <w:proofErr w:type="spellStart"/>
      <w:r w:rsidRPr="00871721">
        <w:t>Interclear</w:t>
      </w:r>
      <w:proofErr w:type="spellEnd"/>
      <w:r w:rsidRPr="00871721">
        <w:t xml:space="preserve"> Central de Valores acreditará su titularidad por medio de la constancia que emita el Puesto de Bolsa depositario.</w:t>
      </w:r>
    </w:p>
    <w:p w:rsidR="00E627E7" w:rsidRPr="00871721" w:rsidRDefault="00E627E7" w:rsidP="00E627E7">
      <w:pPr>
        <w:jc w:val="both"/>
      </w:pPr>
    </w:p>
    <w:p w:rsidR="00E627E7" w:rsidRPr="00871721" w:rsidRDefault="00E627E7" w:rsidP="00E627E7">
      <w:pPr>
        <w:jc w:val="both"/>
      </w:pPr>
      <w:r w:rsidRPr="00871721">
        <w:t>Las acciones desmaterializadas son cotizables en la Bolsa Nacional de Valores.</w:t>
      </w:r>
    </w:p>
    <w:p w:rsidR="00E627E7" w:rsidRPr="00871721" w:rsidRDefault="00E627E7" w:rsidP="00E627E7">
      <w:pPr>
        <w:jc w:val="both"/>
      </w:pPr>
    </w:p>
    <w:p w:rsidR="00E627E7" w:rsidRPr="00871721" w:rsidRDefault="00E627E7" w:rsidP="00E627E7">
      <w:pPr>
        <w:jc w:val="both"/>
      </w:pPr>
      <w:r w:rsidRPr="00871721">
        <w:t xml:space="preserve">Los accionistas que no estén de acuerdo con la desmaterialización, podrán mantener los títulos que poseen en forma física hasta tanto no sean negociados en bolsa.  Las nuevas negociaciones que realicen tendrán un formato electrónico. </w:t>
      </w:r>
    </w:p>
    <w:p w:rsidR="00E627E7" w:rsidRPr="00871721" w:rsidRDefault="00E627E7" w:rsidP="00E627E7">
      <w:pPr>
        <w:jc w:val="both"/>
      </w:pPr>
    </w:p>
    <w:p w:rsidR="00E627E7" w:rsidRPr="00871721" w:rsidRDefault="00E627E7" w:rsidP="00E627E7">
      <w:pPr>
        <w:jc w:val="both"/>
      </w:pPr>
    </w:p>
    <w:p w:rsidR="00E627E7" w:rsidRPr="00871721" w:rsidRDefault="00E627E7" w:rsidP="00E627E7">
      <w:pPr>
        <w:jc w:val="both"/>
      </w:pPr>
      <w:r w:rsidRPr="00871721">
        <w:t xml:space="preserve">El Consejo Nacional de Supervisión del Sistema Financiero (CONASSIF) en sesión 1692-2021, celebrada el 4 de octubre del 2021, reformó el Reglamentos sobre Oferta Pública de Valores y el Reglamento de Custodia ordenando la desmaterialización de las acciones físicas en circulación de emisores accionarios inscritos en el Registro Nacional de Valores e Intermediarios; lo anterior con fundamento en la Ley Reguladora del Mercado de Valores No. 7732 y el dictamen C-341-2018 de la Procuraduría General de la República del 18 de diciembre del 2018. </w:t>
      </w:r>
    </w:p>
    <w:p w:rsidR="00E627E7" w:rsidRPr="00871721" w:rsidRDefault="00E627E7" w:rsidP="00E627E7">
      <w:pPr>
        <w:jc w:val="both"/>
      </w:pPr>
    </w:p>
    <w:p w:rsidR="00E627E7" w:rsidRPr="00871721" w:rsidRDefault="00E627E7" w:rsidP="00E627E7">
      <w:pPr>
        <w:jc w:val="both"/>
      </w:pPr>
    </w:p>
    <w:p w:rsidR="00E627E7" w:rsidRDefault="00E627E7" w:rsidP="00E627E7">
      <w:pPr>
        <w:jc w:val="both"/>
      </w:pPr>
      <w:r w:rsidRPr="00871721">
        <w:t>La reforma al Reglamento sobre Oferta Pública de Valores ordenó a los emisores accionarios que tengan acciones representadas de manera física, elaborar y comunicar a la Superintendencia General de Valores (SUGEVAL) un plan para ejecutar la desmaterialización total de las acciones físicas.  Mediante oficio CNS-1792/08 del 31 de marzo de 2023, el CONASSIF, extendió el plazo para dicha comunicación hasta el 31 de mayo del 2024, plazo que se encuentra suspendido mediante oficio de la SUGEVAL H30/0- 1567 de fecha 28 de julio de 2023, hasta la firmeza de la decisión de la Sala Constitucional sobre recurso de inconstitucionalidad.</w:t>
      </w:r>
    </w:p>
    <w:p w:rsidR="00E627E7" w:rsidRPr="00871721" w:rsidRDefault="00E627E7" w:rsidP="00E627E7">
      <w:pPr>
        <w:jc w:val="both"/>
      </w:pPr>
      <w:r w:rsidRPr="00871721">
        <w:t>(https://www.sugeval.fi.cr/noticiasyeventos/comunicados/Hecho%20relevante%2028%20de%20Julio.pdf)</w:t>
      </w:r>
    </w:p>
    <w:p w:rsidR="00E627E7" w:rsidRPr="00871721" w:rsidRDefault="00E627E7" w:rsidP="00E627E7">
      <w:pPr>
        <w:jc w:val="both"/>
      </w:pPr>
    </w:p>
    <w:p w:rsidR="00E627E7" w:rsidRPr="00871721" w:rsidRDefault="00E627E7" w:rsidP="00E627E7">
      <w:pPr>
        <w:jc w:val="both"/>
      </w:pPr>
    </w:p>
    <w:p w:rsidR="00E627E7" w:rsidRPr="00871721" w:rsidRDefault="00E627E7" w:rsidP="00E627E7">
      <w:pPr>
        <w:jc w:val="both"/>
      </w:pPr>
    </w:p>
    <w:p w:rsidR="00E627E7" w:rsidRPr="00871721" w:rsidRDefault="00E627E7" w:rsidP="00E627E7">
      <w:pPr>
        <w:jc w:val="both"/>
        <w:rPr>
          <w:b/>
          <w:i/>
        </w:rPr>
      </w:pPr>
      <w:r w:rsidRPr="00871721">
        <w:rPr>
          <w:b/>
          <w:i/>
        </w:rPr>
        <w:t>Tratamiento tributario</w:t>
      </w:r>
    </w:p>
    <w:p w:rsidR="00E627E7" w:rsidRPr="00871721" w:rsidRDefault="00E627E7" w:rsidP="00E627E7">
      <w:pPr>
        <w:jc w:val="both"/>
      </w:pPr>
    </w:p>
    <w:p w:rsidR="00E627E7" w:rsidRPr="00871721" w:rsidRDefault="00E627E7" w:rsidP="00E627E7">
      <w:pPr>
        <w:jc w:val="both"/>
      </w:pPr>
      <w:bookmarkStart w:id="9" w:name="_17dp8vu" w:colFirst="0" w:colLast="0"/>
      <w:bookmarkEnd w:id="9"/>
      <w:r w:rsidRPr="00871721">
        <w:t xml:space="preserve">El tratamiento tributario de las acciones se encuentra sujeto al ordenamiento jurídico costarricense, de conformidad con lo dispuesto en la Ley No. 7092, Ley del Impuesto sobre la Renta, reformada por la Ley 9635 “Fortalecimiento de las Finanzas Públicas”, la cual entró en vigencia el 1 de julio de 2019. El Emisor es responsable de proceder de conformidad con el ámbito normativo. Es responsabilidad del adquirente de los valores verificar el tratamiento tributario aplicable a su caso particular de conformidad con lo establecido en la Ley No. 7092, Ley de Impuesto de sobre la Renta y su Reglamento. Las modificaciones futuras en la tasa impositiva serán asumidas directamente por los inversionistas, todo de conformidad con el marco legal vigente. </w:t>
      </w:r>
    </w:p>
    <w:p w:rsidR="00E627E7" w:rsidRPr="00871721" w:rsidRDefault="00E627E7" w:rsidP="00E627E7">
      <w:pPr>
        <w:jc w:val="both"/>
      </w:pPr>
    </w:p>
    <w:p w:rsidR="00E627E7" w:rsidRPr="00871721" w:rsidRDefault="00E627E7" w:rsidP="00E627E7">
      <w:pPr>
        <w:jc w:val="both"/>
        <w:rPr>
          <w:b/>
          <w:i/>
        </w:rPr>
      </w:pPr>
      <w:r w:rsidRPr="00871721">
        <w:rPr>
          <w:b/>
          <w:i/>
        </w:rPr>
        <w:t>Emisiones inscritas en otros mercados</w:t>
      </w:r>
    </w:p>
    <w:p w:rsidR="00E627E7" w:rsidRPr="00871721" w:rsidRDefault="00E627E7" w:rsidP="00E627E7">
      <w:pPr>
        <w:jc w:val="both"/>
      </w:pPr>
    </w:p>
    <w:p w:rsidR="00E627E7" w:rsidRPr="00871721" w:rsidRDefault="00E627E7" w:rsidP="00E627E7">
      <w:pPr>
        <w:jc w:val="both"/>
      </w:pPr>
      <w:proofErr w:type="spellStart"/>
      <w:r w:rsidRPr="00871721">
        <w:t>Holcim</w:t>
      </w:r>
      <w:proofErr w:type="spellEnd"/>
      <w:r w:rsidRPr="00871721">
        <w:t xml:space="preserve"> (Costa Rica) no tiene emisiones inscritas en otros mercados.</w:t>
      </w:r>
    </w:p>
    <w:p w:rsidR="00E627E7" w:rsidRPr="00871721" w:rsidRDefault="00E627E7" w:rsidP="00E627E7">
      <w:pPr>
        <w:jc w:val="both"/>
      </w:pPr>
    </w:p>
    <w:p w:rsidR="00E627E7" w:rsidRPr="00871721" w:rsidRDefault="00E627E7" w:rsidP="00E627E7">
      <w:pPr>
        <w:jc w:val="both"/>
      </w:pPr>
      <w:r w:rsidRPr="00871721">
        <w:rPr>
          <w:b/>
          <w:i/>
        </w:rPr>
        <w:t>Programa de recompra de Acciones</w:t>
      </w:r>
    </w:p>
    <w:p w:rsidR="00E627E7" w:rsidRPr="00871721" w:rsidRDefault="00E627E7" w:rsidP="00E627E7">
      <w:pPr>
        <w:jc w:val="both"/>
      </w:pPr>
    </w:p>
    <w:p w:rsidR="00E627E7" w:rsidRPr="00871721" w:rsidRDefault="00E627E7" w:rsidP="00E627E7">
      <w:pPr>
        <w:spacing w:after="160"/>
        <w:jc w:val="both"/>
        <w:rPr>
          <w:sz w:val="20"/>
          <w:szCs w:val="20"/>
        </w:rPr>
      </w:pPr>
      <w:r w:rsidRPr="00871721">
        <w:rPr>
          <w:sz w:val="20"/>
          <w:szCs w:val="20"/>
        </w:rPr>
        <w:t xml:space="preserve">En Asamblea de Accionistas, celebrada el 22 de noviembre de 2022, se autorizaron los siguientes mecanismos de recompra de acciones que circulan en el mercado:  Programa de Recompras y Subasta Inversa, con el propósito de brindar liquidez a los accionistas. </w:t>
      </w:r>
    </w:p>
    <w:p w:rsidR="00E627E7" w:rsidRPr="00871721" w:rsidRDefault="00E627E7" w:rsidP="00E627E7">
      <w:pPr>
        <w:spacing w:after="160"/>
        <w:jc w:val="both"/>
        <w:rPr>
          <w:sz w:val="20"/>
          <w:szCs w:val="20"/>
        </w:rPr>
      </w:pPr>
      <w:r w:rsidRPr="00871721">
        <w:rPr>
          <w:sz w:val="20"/>
          <w:szCs w:val="20"/>
        </w:rPr>
        <w:t>Los mecanismos de recompra aprobados, se realizan bajo los lineamientos y normativas que dicta SUGEVAL.  Adicionalmente se realizan las comunicaciones mediante Hecho Relevante según corresponda.</w:t>
      </w:r>
    </w:p>
    <w:p w:rsidR="00E627E7" w:rsidRPr="00871721" w:rsidRDefault="00E627E7" w:rsidP="00E627E7">
      <w:pPr>
        <w:spacing w:after="160"/>
        <w:jc w:val="both"/>
        <w:rPr>
          <w:sz w:val="20"/>
          <w:szCs w:val="20"/>
        </w:rPr>
      </w:pPr>
      <w:r w:rsidRPr="00871721">
        <w:rPr>
          <w:sz w:val="20"/>
          <w:szCs w:val="20"/>
        </w:rPr>
        <w:t>A continuación, se presenta información relacionada con la ejecución del programa de recompra:</w:t>
      </w:r>
    </w:p>
    <w:p w:rsidR="00E627E7" w:rsidRPr="00871721" w:rsidRDefault="00E627E7" w:rsidP="00E627E7"/>
    <w:p w:rsidR="00E627E7" w:rsidRPr="00871721" w:rsidRDefault="00E627E7" w:rsidP="00E627E7">
      <w:r w:rsidRPr="00871721">
        <w:rPr>
          <w:noProof/>
          <w:lang w:val="es-CR"/>
        </w:rPr>
        <w:drawing>
          <wp:inline distT="114300" distB="114300" distL="114300" distR="114300" wp14:anchorId="7BA24CB9" wp14:editId="1C6656B0">
            <wp:extent cx="4724400" cy="885825"/>
            <wp:effectExtent l="0" t="0" r="0" b="0"/>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4724400" cy="885825"/>
                    </a:xfrm>
                    <a:prstGeom prst="rect">
                      <a:avLst/>
                    </a:prstGeom>
                    <a:ln/>
                  </pic:spPr>
                </pic:pic>
              </a:graphicData>
            </a:graphic>
          </wp:inline>
        </w:drawing>
      </w:r>
    </w:p>
    <w:p w:rsidR="00E627E7" w:rsidRPr="00871721" w:rsidRDefault="00E627E7" w:rsidP="00E627E7"/>
    <w:p w:rsidR="00E627E7" w:rsidRPr="00871721" w:rsidRDefault="00E627E7" w:rsidP="00E627E7">
      <w:pPr>
        <w:jc w:val="both"/>
      </w:pPr>
      <w:r w:rsidRPr="00871721">
        <w:t>Posteriormente en asamblea de accionistas de fecha 27 de marzo de 2024, se autorizó a la administración a: i) establecer un Programa de Recompra de acciones de la Compañía a través de la Bolsa Nacional de Valores, por un monto máximo agregado de US$10,000,000. El programa podrá estar activo por un periodo de doce meses a partir de la aprobación por parte de la Asamblea; ii) establecer un mecanismo de recompra de acciones de la Compañía mediante uno o más eventos de Subasta Inversa a través de la Bolsa Nacional de Valores, por un monto máximo agregado de US$10,000,000.  El plazo máximo de ejecución de este mecanismo fue de doce meses a partir de la aprobación por parte de la Asamblea o</w:t>
      </w:r>
      <w:r>
        <w:t xml:space="preserve"> </w:t>
      </w:r>
      <w:r w:rsidRPr="00871721">
        <w:t>sea 27 de marzo de 2025.</w:t>
      </w:r>
    </w:p>
    <w:p w:rsidR="00E627E7" w:rsidRDefault="00E627E7" w:rsidP="00E627E7">
      <w:pPr>
        <w:keepNext/>
        <w:jc w:val="center"/>
        <w:rPr>
          <w:b/>
          <w:sz w:val="28"/>
          <w:szCs w:val="28"/>
        </w:rPr>
      </w:pPr>
    </w:p>
    <w:p w:rsidR="00E627E7" w:rsidRDefault="00E627E7" w:rsidP="00E627E7">
      <w:pPr>
        <w:keepNext/>
        <w:jc w:val="center"/>
        <w:rPr>
          <w:b/>
          <w:sz w:val="28"/>
          <w:szCs w:val="28"/>
        </w:rPr>
      </w:pPr>
      <w:r>
        <w:rPr>
          <w:b/>
          <w:sz w:val="28"/>
          <w:szCs w:val="28"/>
        </w:rPr>
        <w:br w:type="textWrapping" w:clear="all"/>
      </w:r>
    </w:p>
    <w:p w:rsidR="00E627E7" w:rsidRDefault="00E627E7" w:rsidP="00E627E7">
      <w:pPr>
        <w:keepNext/>
        <w:jc w:val="center"/>
        <w:rPr>
          <w:b/>
          <w:sz w:val="28"/>
          <w:szCs w:val="28"/>
        </w:rPr>
      </w:pPr>
      <w:r>
        <w:rPr>
          <w:b/>
          <w:sz w:val="28"/>
          <w:szCs w:val="28"/>
        </w:rPr>
        <w:br w:type="page"/>
      </w:r>
    </w:p>
    <w:p w:rsidR="00E627E7" w:rsidRDefault="00E627E7" w:rsidP="00E627E7">
      <w:pPr>
        <w:keepNext/>
        <w:jc w:val="center"/>
        <w:rPr>
          <w:b/>
          <w:sz w:val="28"/>
          <w:szCs w:val="28"/>
        </w:rPr>
      </w:pPr>
    </w:p>
    <w:p w:rsidR="00E627E7" w:rsidRPr="00871721" w:rsidRDefault="00E627E7" w:rsidP="00E627E7">
      <w:pPr>
        <w:keepNext/>
        <w:jc w:val="center"/>
        <w:rPr>
          <w:b/>
          <w:sz w:val="28"/>
          <w:szCs w:val="28"/>
        </w:rPr>
      </w:pPr>
      <w:r w:rsidRPr="00871721">
        <w:rPr>
          <w:b/>
          <w:sz w:val="28"/>
          <w:szCs w:val="28"/>
        </w:rPr>
        <w:t>CAPÍTULO II</w:t>
      </w:r>
    </w:p>
    <w:p w:rsidR="00E627E7" w:rsidRPr="00871721" w:rsidRDefault="00E627E7" w:rsidP="00E627E7">
      <w:pPr>
        <w:jc w:val="both"/>
        <w:rPr>
          <w:sz w:val="20"/>
          <w:szCs w:val="20"/>
        </w:rPr>
      </w:pPr>
    </w:p>
    <w:p w:rsidR="00E627E7" w:rsidRPr="00871721" w:rsidRDefault="00E627E7" w:rsidP="00E627E7">
      <w:pPr>
        <w:rPr>
          <w:b/>
          <w:sz w:val="24"/>
          <w:szCs w:val="24"/>
        </w:rPr>
      </w:pPr>
      <w:r w:rsidRPr="00871721">
        <w:rPr>
          <w:b/>
          <w:sz w:val="24"/>
          <w:szCs w:val="24"/>
        </w:rPr>
        <w:t>INFORMACIÓN ESENCIAL</w:t>
      </w:r>
    </w:p>
    <w:p w:rsidR="00E627E7" w:rsidRPr="00871721" w:rsidRDefault="00E627E7" w:rsidP="00E627E7">
      <w:pPr>
        <w:ind w:left="720"/>
        <w:jc w:val="both"/>
        <w:rPr>
          <w:sz w:val="20"/>
          <w:szCs w:val="20"/>
        </w:rPr>
      </w:pPr>
    </w:p>
    <w:p w:rsidR="00E627E7" w:rsidRPr="00871721" w:rsidRDefault="00E627E7" w:rsidP="00E627E7">
      <w:pPr>
        <w:ind w:left="20"/>
        <w:jc w:val="both"/>
      </w:pPr>
      <w:r w:rsidRPr="00871721">
        <w:t xml:space="preserve">La siguiente información tiene como propósito dar a conocer los aspectos más relevantes acerca de los factores de riesgo, de la situación financiera y la capitalización de </w:t>
      </w:r>
      <w:proofErr w:type="spellStart"/>
      <w:r w:rsidRPr="00871721">
        <w:t>Holcim</w:t>
      </w:r>
      <w:proofErr w:type="spellEnd"/>
      <w:r w:rsidRPr="00871721">
        <w:t xml:space="preserve"> (Costa Rica), S.A. y subsidiarias.</w:t>
      </w:r>
    </w:p>
    <w:p w:rsidR="00E627E7" w:rsidRPr="00871721" w:rsidRDefault="00E627E7" w:rsidP="00E627E7">
      <w:pPr>
        <w:ind w:left="720"/>
        <w:jc w:val="both"/>
        <w:rPr>
          <w:sz w:val="20"/>
          <w:szCs w:val="20"/>
        </w:rPr>
      </w:pPr>
      <w:bookmarkStart w:id="10" w:name="_3rdcrjn" w:colFirst="0" w:colLast="0"/>
      <w:bookmarkEnd w:id="10"/>
    </w:p>
    <w:p w:rsidR="00E627E7" w:rsidRPr="00871721" w:rsidRDefault="00E627E7" w:rsidP="00E627E7">
      <w:pPr>
        <w:ind w:left="20"/>
        <w:jc w:val="both"/>
      </w:pPr>
      <w:r w:rsidRPr="00871721">
        <w:t>Los factores de riesgo definen algunas situaciones, circunstancias o eventos que pueden suscitarse en la empresa y reducir o limitar el rendimiento y liquidez de los valores objeto de la oferta pública y traducirse en pérdidas para el inversionista.  Las siguientes anotaciones le servirán de orientación para evaluar el efecto que éstos podrían tener en su inversión.</w:t>
      </w:r>
    </w:p>
    <w:p w:rsidR="00E627E7" w:rsidRPr="00871721" w:rsidRDefault="00E627E7" w:rsidP="00E627E7">
      <w:pPr>
        <w:ind w:left="20"/>
        <w:jc w:val="both"/>
        <w:rPr>
          <w:i/>
          <w:sz w:val="20"/>
          <w:szCs w:val="20"/>
        </w:rPr>
      </w:pPr>
    </w:p>
    <w:p w:rsidR="00E627E7" w:rsidRPr="00871721" w:rsidRDefault="00E627E7" w:rsidP="00E627E7">
      <w:pPr>
        <w:ind w:left="20"/>
        <w:jc w:val="both"/>
        <w:rPr>
          <w:i/>
          <w:sz w:val="20"/>
          <w:szCs w:val="20"/>
        </w:rPr>
      </w:pPr>
    </w:p>
    <w:p w:rsidR="00E627E7" w:rsidRPr="00871721" w:rsidRDefault="00E627E7" w:rsidP="00E627E7">
      <w:pPr>
        <w:jc w:val="both"/>
        <w:rPr>
          <w:b/>
          <w:sz w:val="24"/>
          <w:szCs w:val="24"/>
        </w:rPr>
      </w:pPr>
      <w:r w:rsidRPr="00871721">
        <w:rPr>
          <w:b/>
          <w:sz w:val="24"/>
          <w:szCs w:val="24"/>
        </w:rPr>
        <w:t>Factores de riesgo que afectan a la empresa y a la emisión</w:t>
      </w:r>
    </w:p>
    <w:p w:rsidR="00E627E7" w:rsidRPr="00871721" w:rsidRDefault="00E627E7" w:rsidP="00E627E7">
      <w:pPr>
        <w:ind w:left="20"/>
        <w:jc w:val="both"/>
        <w:rPr>
          <w:b/>
          <w:sz w:val="24"/>
          <w:szCs w:val="24"/>
        </w:rPr>
      </w:pPr>
    </w:p>
    <w:p w:rsidR="00E627E7" w:rsidRPr="00871721" w:rsidRDefault="00E627E7" w:rsidP="00E627E7">
      <w:pPr>
        <w:jc w:val="both"/>
        <w:rPr>
          <w:b/>
        </w:rPr>
      </w:pPr>
      <w:r w:rsidRPr="00871721">
        <w:rPr>
          <w:b/>
        </w:rPr>
        <w:t>Riesgos propios de la actividad de la empresa</w:t>
      </w:r>
    </w:p>
    <w:p w:rsidR="00E627E7" w:rsidRPr="00871721" w:rsidRDefault="00E627E7" w:rsidP="00E627E7">
      <w:pPr>
        <w:jc w:val="both"/>
        <w:rPr>
          <w:b/>
          <w:i/>
        </w:rPr>
      </w:pPr>
    </w:p>
    <w:p w:rsidR="00E627E7" w:rsidRPr="00871721" w:rsidRDefault="00E627E7" w:rsidP="00E627E7">
      <w:pPr>
        <w:jc w:val="both"/>
        <w:rPr>
          <w:u w:val="single"/>
        </w:rPr>
      </w:pPr>
      <w:r w:rsidRPr="00871721">
        <w:rPr>
          <w:u w:val="single"/>
        </w:rPr>
        <w:t>Riesgo por origen y/o tipo de materia prima</w:t>
      </w:r>
    </w:p>
    <w:p w:rsidR="00E627E7" w:rsidRPr="00871721" w:rsidRDefault="00E627E7" w:rsidP="00E627E7">
      <w:pPr>
        <w:jc w:val="both"/>
        <w:rPr>
          <w:u w:val="single"/>
        </w:rPr>
      </w:pPr>
    </w:p>
    <w:p w:rsidR="00E627E7" w:rsidRPr="00871721" w:rsidRDefault="00E627E7" w:rsidP="00E627E7">
      <w:pPr>
        <w:jc w:val="both"/>
      </w:pPr>
      <w:r w:rsidRPr="00871721">
        <w:t xml:space="preserve">La piedra caliza es la principal materia prima para la producción del cemento y es un recurso agotable, por lo que existe un plan de gestión de riesgo para evitar que presente un problema en su abastecimiento.  </w:t>
      </w:r>
    </w:p>
    <w:p w:rsidR="00E627E7" w:rsidRPr="00871721" w:rsidRDefault="00E627E7" w:rsidP="00E627E7">
      <w:pPr>
        <w:jc w:val="both"/>
      </w:pPr>
    </w:p>
    <w:p w:rsidR="00E627E7" w:rsidRPr="00871721" w:rsidRDefault="00E627E7" w:rsidP="00E627E7">
      <w:pPr>
        <w:jc w:val="both"/>
        <w:rPr>
          <w:u w:val="single"/>
        </w:rPr>
      </w:pPr>
      <w:r w:rsidRPr="00871721">
        <w:rPr>
          <w:u w:val="single"/>
        </w:rPr>
        <w:t>Riesgo de fenómenos naturales que inciden en la producción</w:t>
      </w:r>
    </w:p>
    <w:p w:rsidR="00E627E7" w:rsidRPr="00871721" w:rsidRDefault="00E627E7" w:rsidP="00E627E7">
      <w:pPr>
        <w:jc w:val="both"/>
        <w:rPr>
          <w:u w:val="single"/>
        </w:rPr>
      </w:pPr>
    </w:p>
    <w:p w:rsidR="00E627E7" w:rsidRPr="00871721" w:rsidRDefault="00E627E7" w:rsidP="00E627E7">
      <w:pPr>
        <w:jc w:val="both"/>
      </w:pPr>
      <w:r w:rsidRPr="00871721">
        <w:t>El principal fenómeno natural al cual podrían verse expuestos los procesos productivos de la empresa son los daños que pudiera ocasionar por ejemplo un evento sísmico de gran magnitud, generando un impacto negativo en los ingresos y en las utilidades de la Compañía, esto por el lapso de tiempo que se requiera para activar nuevamente las operaciones de forma regular.</w:t>
      </w:r>
    </w:p>
    <w:p w:rsidR="00E627E7" w:rsidRPr="00871721" w:rsidRDefault="00E627E7" w:rsidP="00E627E7">
      <w:pPr>
        <w:jc w:val="both"/>
      </w:pPr>
    </w:p>
    <w:p w:rsidR="00E627E7" w:rsidRPr="00871721" w:rsidRDefault="00E627E7" w:rsidP="00E627E7">
      <w:pPr>
        <w:jc w:val="both"/>
        <w:rPr>
          <w:u w:val="single"/>
        </w:rPr>
      </w:pPr>
      <w:r w:rsidRPr="00871721">
        <w:rPr>
          <w:u w:val="single"/>
        </w:rPr>
        <w:t>Riesgo por dependencia del funcionamiento de otra empresa</w:t>
      </w:r>
    </w:p>
    <w:p w:rsidR="00E627E7" w:rsidRPr="00871721" w:rsidRDefault="00E627E7" w:rsidP="00E627E7">
      <w:pPr>
        <w:jc w:val="both"/>
        <w:rPr>
          <w:u w:val="single"/>
        </w:rPr>
      </w:pPr>
    </w:p>
    <w:p w:rsidR="00E627E7" w:rsidRPr="00871721" w:rsidRDefault="00E627E7" w:rsidP="00E627E7">
      <w:pPr>
        <w:jc w:val="both"/>
      </w:pPr>
      <w:r w:rsidRPr="00871721">
        <w:t xml:space="preserve">Debido a que la electricidad y los combustibles fósiles son las principales energías utilizadas en la producción del </w:t>
      </w:r>
      <w:proofErr w:type="spellStart"/>
      <w:r w:rsidRPr="00871721">
        <w:t>clinker</w:t>
      </w:r>
      <w:proofErr w:type="spellEnd"/>
      <w:r w:rsidRPr="00871721">
        <w:t xml:space="preserve"> y cemento, la empresa tiene algún grado de dependencia del suministro de ambos insumos por parte de las empresas estatales Instituto Costarricense de Electricidad (ICE) y de Refinadora Costarricense de Petróleo (RECOPE).  Este riesgo se llegaría a materializar si no se contara con los combustibles necesarios (búnker y energía eléctrica) para los calentamientos del horno, afectando la producción de cemento y como consecuencia la generación de ingresos para la compañía y los accionistas.</w:t>
      </w:r>
    </w:p>
    <w:p w:rsidR="00E627E7" w:rsidRPr="00871721" w:rsidRDefault="00E627E7" w:rsidP="00E627E7">
      <w:pPr>
        <w:jc w:val="both"/>
      </w:pPr>
    </w:p>
    <w:p w:rsidR="00E627E7" w:rsidRPr="00871721" w:rsidRDefault="00E627E7" w:rsidP="00E627E7">
      <w:pPr>
        <w:jc w:val="both"/>
        <w:rPr>
          <w:u w:val="single"/>
        </w:rPr>
      </w:pPr>
      <w:r w:rsidRPr="00871721">
        <w:rPr>
          <w:u w:val="single"/>
        </w:rPr>
        <w:t>Riesgo sobre el nivel de endeudamiento</w:t>
      </w:r>
    </w:p>
    <w:p w:rsidR="00E627E7" w:rsidRPr="00871721" w:rsidRDefault="00E627E7" w:rsidP="00E627E7">
      <w:pPr>
        <w:jc w:val="both"/>
        <w:rPr>
          <w:u w:val="single"/>
        </w:rPr>
      </w:pPr>
    </w:p>
    <w:p w:rsidR="00E627E7" w:rsidRPr="00871721" w:rsidRDefault="00E627E7" w:rsidP="00E627E7">
      <w:pPr>
        <w:jc w:val="both"/>
      </w:pPr>
      <w:r w:rsidRPr="00871721">
        <w:t xml:space="preserve">La empresa está sujeta al artículo 116 de la Ley Orgánica del Banco Central de Costa Rica, en el que se indica que la empresa no podrá exceder un nivel de endeudamiento total de cuatro veces su capital.  </w:t>
      </w:r>
      <w:proofErr w:type="spellStart"/>
      <w:r w:rsidRPr="00871721">
        <w:t>Holcim</w:t>
      </w:r>
      <w:proofErr w:type="spellEnd"/>
      <w:r w:rsidRPr="00871721">
        <w:t xml:space="preserve"> debe mantenerse dentro de los márgenes establecidos, de lo contrario no podrá emitir valores.  El inversionista se podría ver afectado si el exceso en el endeudamiento comprometa la liquidez de </w:t>
      </w:r>
      <w:proofErr w:type="spellStart"/>
      <w:r w:rsidRPr="00871721">
        <w:t>Holcim</w:t>
      </w:r>
      <w:proofErr w:type="spellEnd"/>
      <w:r w:rsidRPr="00871721">
        <w:t xml:space="preserve"> para hacer frente a sus obligaciones, adicionalmente la empresa podría recibir sanciones de la Superintendencia.</w:t>
      </w:r>
    </w:p>
    <w:p w:rsidR="00E627E7" w:rsidRPr="00871721" w:rsidRDefault="00E627E7" w:rsidP="00E627E7">
      <w:pPr>
        <w:jc w:val="both"/>
      </w:pPr>
    </w:p>
    <w:p w:rsidR="00E627E7" w:rsidRPr="00871721" w:rsidRDefault="00E627E7" w:rsidP="00E627E7">
      <w:pPr>
        <w:jc w:val="both"/>
        <w:rPr>
          <w:u w:val="single"/>
        </w:rPr>
      </w:pPr>
      <w:r w:rsidRPr="00871721">
        <w:rPr>
          <w:u w:val="single"/>
        </w:rPr>
        <w:t>Riesgo de competencia</w:t>
      </w:r>
    </w:p>
    <w:p w:rsidR="00E627E7" w:rsidRPr="00871721" w:rsidRDefault="00E627E7" w:rsidP="00E627E7">
      <w:pPr>
        <w:jc w:val="both"/>
        <w:rPr>
          <w:u w:val="single"/>
        </w:rPr>
      </w:pPr>
    </w:p>
    <w:p w:rsidR="00E627E7" w:rsidRPr="00871721" w:rsidRDefault="00E627E7" w:rsidP="00E627E7">
      <w:pPr>
        <w:jc w:val="both"/>
      </w:pPr>
      <w:r w:rsidRPr="00871721">
        <w:t>En la última década se ha visto el ingreso en nuestro mercado de variados sistemas constructivos que ofrecen alternativas de los sistemas tradicionales.  Dichos sistemas han logrado penetrar capturando nichos con necesidades específicas y en algunos casos participación a expensas de los productos tradicionales.  Dicho riesgo se está mitigando mediante la adquisición de otras compañías del sector construcción que permitirán ofrecer un portafolio ampliado de productos y servicios.</w:t>
      </w:r>
    </w:p>
    <w:p w:rsidR="00E627E7" w:rsidRPr="00871721" w:rsidRDefault="00E627E7" w:rsidP="00E627E7">
      <w:pPr>
        <w:jc w:val="both"/>
      </w:pPr>
    </w:p>
    <w:p w:rsidR="00E627E7" w:rsidRPr="00871721" w:rsidRDefault="00E627E7" w:rsidP="00E627E7">
      <w:pPr>
        <w:jc w:val="both"/>
      </w:pPr>
      <w:r w:rsidRPr="00871721">
        <w:t xml:space="preserve">Con el cambio que se dio debido a la reforma al Decreto Ejecutivo Nº 32253-MEIC, Reglamento Técnico RTCR 383:2004 Cemento Hidráulico, se permite la importación de cemento.  Con esto, </w:t>
      </w:r>
      <w:proofErr w:type="spellStart"/>
      <w:r w:rsidRPr="00871721">
        <w:t>Holcim</w:t>
      </w:r>
      <w:proofErr w:type="spellEnd"/>
      <w:r w:rsidRPr="00871721">
        <w:t xml:space="preserve"> y las demás compañías que participan en el mercado podrían enfrentar a nuevos competidores, no productores, que se dediquen a la importación. </w:t>
      </w:r>
    </w:p>
    <w:p w:rsidR="00E627E7" w:rsidRPr="00871721" w:rsidRDefault="00E627E7" w:rsidP="00E627E7">
      <w:pPr>
        <w:jc w:val="both"/>
        <w:rPr>
          <w:color w:val="FF0000"/>
        </w:rPr>
      </w:pPr>
    </w:p>
    <w:p w:rsidR="00E627E7" w:rsidRPr="00871721" w:rsidRDefault="00E627E7" w:rsidP="00E627E7">
      <w:pPr>
        <w:jc w:val="both"/>
      </w:pPr>
      <w:r w:rsidRPr="00871721">
        <w:t xml:space="preserve">Durante 2023, la empresa tuvo una menor demanda del segmento de obra pública. Debido a la conclusión del proyecto </w:t>
      </w:r>
      <w:proofErr w:type="spellStart"/>
      <w:r w:rsidRPr="00871721">
        <w:t>Limonal</w:t>
      </w:r>
      <w:proofErr w:type="spellEnd"/>
      <w:r w:rsidRPr="00871721">
        <w:t xml:space="preserve"> - Cañas y la reducción en la cantidad de obras de infraestructura, la industria del cemento como un todo enfrentó un 7% de contracción en el volumen. </w:t>
      </w:r>
    </w:p>
    <w:p w:rsidR="00E627E7" w:rsidRPr="00871721" w:rsidRDefault="00E627E7" w:rsidP="00E627E7">
      <w:pPr>
        <w:jc w:val="both"/>
      </w:pPr>
    </w:p>
    <w:p w:rsidR="00E627E7" w:rsidRPr="00871721" w:rsidRDefault="00E627E7" w:rsidP="00E627E7">
      <w:pPr>
        <w:jc w:val="both"/>
      </w:pPr>
      <w:r w:rsidRPr="00871721">
        <w:t xml:space="preserve">Del lado de la demanda por parte del sector privado, el dinamismo se concentró en el régimen especial de zonas francas. Por el contrario, la construcción doméstica experimentó una contracción pronunciada durante el segundo semestre. </w:t>
      </w:r>
    </w:p>
    <w:p w:rsidR="00E627E7" w:rsidRPr="00871721" w:rsidRDefault="00E627E7" w:rsidP="00E627E7">
      <w:pPr>
        <w:jc w:val="both"/>
      </w:pPr>
    </w:p>
    <w:p w:rsidR="00E627E7" w:rsidRPr="00871721" w:rsidRDefault="00E627E7" w:rsidP="00E627E7">
      <w:pPr>
        <w:jc w:val="both"/>
      </w:pPr>
      <w:r w:rsidRPr="00871721">
        <w:t xml:space="preserve">Respecto a la competencia, llegó a puerto un embarque de cemento vietnamita y que es comercializado en Costa Rica bajo la marca </w:t>
      </w:r>
      <w:proofErr w:type="spellStart"/>
      <w:r w:rsidRPr="00871721">
        <w:t>Solcem</w:t>
      </w:r>
      <w:proofErr w:type="spellEnd"/>
      <w:r w:rsidRPr="00871721">
        <w:t xml:space="preserve">. De momento se desconoce el alcance que tendrá en el mercado. </w:t>
      </w:r>
    </w:p>
    <w:p w:rsidR="00E627E7" w:rsidRPr="00871721" w:rsidRDefault="00E627E7" w:rsidP="00E627E7">
      <w:pPr>
        <w:jc w:val="both"/>
      </w:pPr>
    </w:p>
    <w:p w:rsidR="00E627E7" w:rsidRPr="00871721" w:rsidRDefault="00E627E7" w:rsidP="00E627E7">
      <w:pPr>
        <w:jc w:val="both"/>
      </w:pPr>
    </w:p>
    <w:p w:rsidR="00E627E7" w:rsidRPr="00871721" w:rsidRDefault="00E627E7" w:rsidP="00E627E7">
      <w:pPr>
        <w:jc w:val="both"/>
        <w:rPr>
          <w:u w:val="single"/>
        </w:rPr>
      </w:pPr>
      <w:r w:rsidRPr="00871721">
        <w:rPr>
          <w:u w:val="single"/>
        </w:rPr>
        <w:t>Riesgo de tipo de cambio</w:t>
      </w:r>
    </w:p>
    <w:p w:rsidR="00E627E7" w:rsidRPr="00871721" w:rsidRDefault="00E627E7" w:rsidP="00E627E7">
      <w:pPr>
        <w:jc w:val="both"/>
        <w:rPr>
          <w:u w:val="single"/>
        </w:rPr>
      </w:pPr>
    </w:p>
    <w:p w:rsidR="00E627E7" w:rsidRPr="00871721" w:rsidRDefault="00E627E7" w:rsidP="00E627E7">
      <w:pPr>
        <w:jc w:val="both"/>
      </w:pPr>
      <w:proofErr w:type="spellStart"/>
      <w:r w:rsidRPr="00871721">
        <w:t>Holcim</w:t>
      </w:r>
      <w:proofErr w:type="spellEnd"/>
      <w:r w:rsidRPr="00871721">
        <w:t xml:space="preserve"> Costa Rica adquiere y/o parte de su materia prima y servicios en el extranjero, con lo que los costos relacionados se ven afectados por la apreciación/depreciación</w:t>
      </w:r>
      <w:r w:rsidRPr="00871721">
        <w:rPr>
          <w:color w:val="0000FF"/>
        </w:rPr>
        <w:t xml:space="preserve"> </w:t>
      </w:r>
      <w:r w:rsidRPr="00871721">
        <w:t>del colón.  Adicionalmente, la Compañía mantiene algunas cuentas por pagar en dólares las cuales pueden verse afectadas por un incremento en el tipo de cambio, afectando la capacidad de pago de sus obligaciones contratadas en moneda extranjera; y, por lo tanto, la rentabilidad del accionista.</w:t>
      </w:r>
    </w:p>
    <w:p w:rsidR="00E627E7" w:rsidRPr="00871721" w:rsidRDefault="00E627E7" w:rsidP="00E627E7">
      <w:pPr>
        <w:jc w:val="both"/>
      </w:pPr>
    </w:p>
    <w:p w:rsidR="00E627E7" w:rsidRPr="00871721" w:rsidRDefault="00E627E7" w:rsidP="00E627E7">
      <w:pPr>
        <w:jc w:val="both"/>
        <w:rPr>
          <w:u w:val="single"/>
        </w:rPr>
      </w:pPr>
      <w:r w:rsidRPr="00871721">
        <w:rPr>
          <w:u w:val="single"/>
        </w:rPr>
        <w:t>Riesgo de situaciones políticas</w:t>
      </w:r>
    </w:p>
    <w:p w:rsidR="00E627E7" w:rsidRPr="00871721" w:rsidRDefault="00E627E7" w:rsidP="00E627E7">
      <w:pPr>
        <w:jc w:val="both"/>
        <w:rPr>
          <w:u w:val="single"/>
        </w:rPr>
      </w:pPr>
    </w:p>
    <w:p w:rsidR="00E627E7" w:rsidRDefault="00E627E7" w:rsidP="00E627E7">
      <w:pPr>
        <w:jc w:val="both"/>
      </w:pPr>
      <w:r w:rsidRPr="00871721">
        <w:t>El riesgo de inestabilidad política consiste en eventuales cambios en el Gobierno o presiones políticas que conlleven a crisis y conflictos que afecten la economía, los programas de inversión y construcción de infraestructura, generando un impacto en los ingresos de la compañía y por lo tanto una menor rentabilidad al accionista.</w:t>
      </w:r>
    </w:p>
    <w:p w:rsidR="00E627E7" w:rsidRDefault="00E627E7" w:rsidP="00E627E7">
      <w:pPr>
        <w:jc w:val="both"/>
      </w:pPr>
    </w:p>
    <w:p w:rsidR="00E627E7" w:rsidRPr="00871721" w:rsidRDefault="00E627E7" w:rsidP="00E627E7">
      <w:pPr>
        <w:jc w:val="both"/>
      </w:pPr>
    </w:p>
    <w:p w:rsidR="00E627E7" w:rsidRPr="00871721" w:rsidRDefault="00E627E7" w:rsidP="00E627E7">
      <w:pPr>
        <w:jc w:val="both"/>
      </w:pPr>
    </w:p>
    <w:p w:rsidR="00E627E7" w:rsidRPr="00871721" w:rsidRDefault="00E627E7" w:rsidP="00E627E7">
      <w:pPr>
        <w:jc w:val="both"/>
      </w:pPr>
    </w:p>
    <w:p w:rsidR="00E627E7" w:rsidRPr="00871721" w:rsidRDefault="00E627E7" w:rsidP="00E627E7">
      <w:pPr>
        <w:jc w:val="both"/>
        <w:rPr>
          <w:u w:val="single"/>
        </w:rPr>
      </w:pPr>
      <w:r w:rsidRPr="00871721">
        <w:rPr>
          <w:u w:val="single"/>
        </w:rPr>
        <w:t>Riesgo legal por cambio en el marco jurídico</w:t>
      </w:r>
    </w:p>
    <w:p w:rsidR="00E627E7" w:rsidRPr="00871721" w:rsidRDefault="00E627E7" w:rsidP="00E627E7">
      <w:pPr>
        <w:jc w:val="both"/>
        <w:rPr>
          <w:u w:val="single"/>
        </w:rPr>
      </w:pPr>
    </w:p>
    <w:p w:rsidR="00E627E7" w:rsidRPr="00871721" w:rsidRDefault="00E627E7" w:rsidP="00E627E7">
      <w:pPr>
        <w:jc w:val="both"/>
      </w:pPr>
      <w:r w:rsidRPr="00871721">
        <w:t>Como en cualquier otra actividad o negocio, está presente el riesgo de que el Gobierno, entendido éste como Poder Ejecutivo, Legislativo y/o Judicial, impulsen reformas sobre la actividad de minería.  En la actualidad existen proyectos de reforma a la ley actual o a sus reglamentos, los mismos no estarían afectando las operaciones de la empresa, máxime tomando en consideración que tenemos reservas de caliza por más de 50 años.</w:t>
      </w:r>
    </w:p>
    <w:p w:rsidR="00E627E7" w:rsidRPr="00871721" w:rsidRDefault="00E627E7" w:rsidP="00E627E7">
      <w:pPr>
        <w:jc w:val="both"/>
      </w:pPr>
    </w:p>
    <w:p w:rsidR="00E627E7" w:rsidRPr="00871721" w:rsidRDefault="00E627E7" w:rsidP="00E627E7">
      <w:pPr>
        <w:jc w:val="both"/>
      </w:pPr>
      <w:r w:rsidRPr="00871721">
        <w:t>Ahora bien, en caso que se dé una reforma en la normativa actual que ponga en peligro el acceso o suministro de materia prima, traería como consecuencia un impacto en los gastos –en caso que haya que comprar producto a terceros o en el exterior- y en los ingresos de la empresa, ante una hipotética disminución en la producción y por ende en las ventas, lo que afectaría en los ingresos de los accionistas.</w:t>
      </w:r>
    </w:p>
    <w:p w:rsidR="00E627E7" w:rsidRPr="00871721" w:rsidRDefault="00E627E7" w:rsidP="00E627E7">
      <w:pPr>
        <w:jc w:val="both"/>
      </w:pPr>
    </w:p>
    <w:p w:rsidR="00E627E7" w:rsidRPr="00871721" w:rsidRDefault="00E627E7" w:rsidP="00E627E7">
      <w:pPr>
        <w:jc w:val="both"/>
        <w:rPr>
          <w:u w:val="single"/>
        </w:rPr>
      </w:pPr>
      <w:r w:rsidRPr="00871721">
        <w:rPr>
          <w:u w:val="single"/>
        </w:rPr>
        <w:t xml:space="preserve">Riesgo de recesión económica o disminución sistemática de la demanda </w:t>
      </w:r>
    </w:p>
    <w:p w:rsidR="00E627E7" w:rsidRPr="00871721" w:rsidRDefault="00E627E7" w:rsidP="00E627E7">
      <w:pPr>
        <w:jc w:val="both"/>
      </w:pPr>
      <w:r w:rsidRPr="00871721">
        <w:t>El decrecimiento de la actividad económica durante un período de tiempo trae como consecuencia la disminución del consumo y la inversión.  Al darse una afectación de este tipo, los resultados de la compañía se pueden ver reducidos, afectando la capacidad de pago a proveedores y la generación de ingresos para los accionistas.</w:t>
      </w:r>
    </w:p>
    <w:p w:rsidR="00E627E7" w:rsidRPr="00871721" w:rsidRDefault="00E627E7" w:rsidP="00E627E7">
      <w:pPr>
        <w:jc w:val="both"/>
        <w:rPr>
          <w:u w:val="single"/>
        </w:rPr>
      </w:pPr>
    </w:p>
    <w:p w:rsidR="00E627E7" w:rsidRPr="00871721" w:rsidRDefault="00E627E7" w:rsidP="00E627E7">
      <w:pPr>
        <w:rPr>
          <w:u w:val="single"/>
        </w:rPr>
      </w:pPr>
      <w:r w:rsidRPr="00871721">
        <w:rPr>
          <w:u w:val="single"/>
        </w:rPr>
        <w:t xml:space="preserve">Riesgo </w:t>
      </w:r>
      <w:proofErr w:type="spellStart"/>
      <w:r w:rsidRPr="00871721">
        <w:rPr>
          <w:u w:val="single"/>
        </w:rPr>
        <w:t>Reputacional</w:t>
      </w:r>
      <w:proofErr w:type="spellEnd"/>
    </w:p>
    <w:p w:rsidR="00E627E7" w:rsidRPr="00871721" w:rsidRDefault="00E627E7" w:rsidP="00E627E7">
      <w:pPr>
        <w:jc w:val="both"/>
      </w:pPr>
    </w:p>
    <w:p w:rsidR="00E627E7" w:rsidRPr="00871721" w:rsidRDefault="00E627E7" w:rsidP="00E627E7">
      <w:pPr>
        <w:jc w:val="both"/>
      </w:pPr>
      <w:r w:rsidRPr="00871721">
        <w:t>Se entiende dentro como la posibilidad de que la imagen de la empresa y/ o de sus colaboradores, representantes legales o miembros de la junta directiva se vea afectada debido a rumores, comunicaciones masivas negativas, manejo administrativo deficiente, conductas contrarias a la ética de los colaboradores o representantes de la compañía, opiniones negativas de clientes, lavado de dinero o situaciones legales y/o ambientales que afecten la imagen de la empresa.</w:t>
      </w:r>
    </w:p>
    <w:p w:rsidR="00E627E7" w:rsidRPr="00871721" w:rsidRDefault="00E627E7" w:rsidP="00E627E7">
      <w:pPr>
        <w:jc w:val="both"/>
      </w:pPr>
      <w:r w:rsidRPr="00871721">
        <w:t xml:space="preserve">  </w:t>
      </w:r>
    </w:p>
    <w:p w:rsidR="00E627E7" w:rsidRPr="00871721" w:rsidRDefault="00E627E7" w:rsidP="00E627E7">
      <w:pPr>
        <w:jc w:val="both"/>
        <w:rPr>
          <w:u w:val="single"/>
        </w:rPr>
      </w:pPr>
    </w:p>
    <w:p w:rsidR="00E627E7" w:rsidRPr="00871721" w:rsidRDefault="00E627E7" w:rsidP="00E627E7">
      <w:pPr>
        <w:jc w:val="both"/>
        <w:rPr>
          <w:u w:val="single"/>
        </w:rPr>
      </w:pPr>
      <w:r w:rsidRPr="00871721">
        <w:rPr>
          <w:u w:val="single"/>
        </w:rPr>
        <w:t>Riesgo de Continuidad de Negocio</w:t>
      </w:r>
    </w:p>
    <w:p w:rsidR="00E627E7" w:rsidRPr="00871721" w:rsidRDefault="00E627E7" w:rsidP="00E627E7">
      <w:pPr>
        <w:jc w:val="both"/>
        <w:rPr>
          <w:u w:val="single"/>
        </w:rPr>
      </w:pPr>
    </w:p>
    <w:p w:rsidR="00E627E7" w:rsidRPr="00871721" w:rsidRDefault="00E627E7" w:rsidP="00E627E7">
      <w:pPr>
        <w:jc w:val="both"/>
      </w:pPr>
      <w:r w:rsidRPr="00871721">
        <w:t xml:space="preserve">Se refiere a la posibilidad que existe de que las operaciones de </w:t>
      </w:r>
      <w:proofErr w:type="spellStart"/>
      <w:r w:rsidRPr="00871721">
        <w:t>Holcim</w:t>
      </w:r>
      <w:proofErr w:type="spellEnd"/>
      <w:r w:rsidRPr="00871721">
        <w:t xml:space="preserve"> (Costa Rica), S.A. se vean interrumpidas parcial o totalmente como consecuencia de desastres naturales, emergencias de salud, manifestaciones sociales, inhabilitación de las instalaciones, suspensión de servicios de tecnologías de información, o cualquier otro factor que afecte tanto a la entidad como a los mercados que atiende, así como a sus principales clientes, tanto a nivel local como internacional. En caso de prolongarse la respuesta ante un escenario que afecte la continuidad normal de las operaciones, podría comprometerse la oportunidad en la atención de las obligaciones con los diferentes grupos de interés de la misma (inversionistas, clientes, proveedores, comunidades, etc.).</w:t>
      </w:r>
    </w:p>
    <w:p w:rsidR="00E627E7" w:rsidRDefault="00E627E7" w:rsidP="00E627E7">
      <w:pPr>
        <w:jc w:val="both"/>
        <w:rPr>
          <w:b/>
          <w:sz w:val="24"/>
          <w:szCs w:val="24"/>
        </w:rPr>
      </w:pPr>
    </w:p>
    <w:p w:rsidR="00E627E7" w:rsidRDefault="00E627E7" w:rsidP="00E627E7">
      <w:pPr>
        <w:jc w:val="both"/>
        <w:rPr>
          <w:b/>
          <w:sz w:val="24"/>
          <w:szCs w:val="24"/>
        </w:rPr>
      </w:pPr>
    </w:p>
    <w:p w:rsidR="00E627E7" w:rsidRDefault="00E627E7" w:rsidP="00E627E7">
      <w:pPr>
        <w:jc w:val="both"/>
        <w:rPr>
          <w:b/>
          <w:sz w:val="24"/>
          <w:szCs w:val="24"/>
        </w:rPr>
      </w:pPr>
    </w:p>
    <w:p w:rsidR="00E627E7" w:rsidRPr="00871721" w:rsidRDefault="00E627E7" w:rsidP="00E627E7">
      <w:pPr>
        <w:jc w:val="both"/>
        <w:rPr>
          <w:b/>
          <w:sz w:val="24"/>
          <w:szCs w:val="24"/>
        </w:rPr>
      </w:pPr>
      <w:r w:rsidRPr="00871721">
        <w:rPr>
          <w:b/>
          <w:sz w:val="24"/>
          <w:szCs w:val="24"/>
        </w:rPr>
        <w:t>Riesgos asociados a la emisión de acciones</w:t>
      </w:r>
    </w:p>
    <w:p w:rsidR="00E627E7" w:rsidRPr="00871721" w:rsidRDefault="00E627E7" w:rsidP="00E627E7">
      <w:pPr>
        <w:jc w:val="both"/>
      </w:pPr>
    </w:p>
    <w:p w:rsidR="00E627E7" w:rsidRPr="00871721" w:rsidRDefault="00E627E7" w:rsidP="00E627E7">
      <w:pPr>
        <w:jc w:val="both"/>
      </w:pPr>
      <w:r w:rsidRPr="00871721">
        <w:t>Al igual que cualquier otra emisión de acciones que se transa en un mercado organizado, esta emisión se encuentra expuesta a los siguientes riesgos:</w:t>
      </w:r>
    </w:p>
    <w:p w:rsidR="00E627E7" w:rsidRPr="00871721" w:rsidRDefault="00E627E7" w:rsidP="00E627E7">
      <w:pPr>
        <w:jc w:val="both"/>
      </w:pPr>
    </w:p>
    <w:p w:rsidR="00E627E7" w:rsidRPr="00871721" w:rsidRDefault="00E627E7" w:rsidP="00E627E7">
      <w:pPr>
        <w:jc w:val="both"/>
      </w:pPr>
    </w:p>
    <w:p w:rsidR="00E627E7" w:rsidRPr="00871721" w:rsidRDefault="00E627E7" w:rsidP="00E627E7">
      <w:pPr>
        <w:jc w:val="both"/>
        <w:rPr>
          <w:u w:val="single"/>
        </w:rPr>
      </w:pPr>
      <w:r w:rsidRPr="00871721">
        <w:rPr>
          <w:u w:val="single"/>
        </w:rPr>
        <w:t>Riesgo de comercialización o iliquidez</w:t>
      </w:r>
    </w:p>
    <w:p w:rsidR="00E627E7" w:rsidRPr="00871721" w:rsidRDefault="00E627E7" w:rsidP="00E627E7">
      <w:pPr>
        <w:jc w:val="both"/>
        <w:rPr>
          <w:u w:val="single"/>
        </w:rPr>
      </w:pPr>
    </w:p>
    <w:p w:rsidR="00E627E7" w:rsidRPr="00871721" w:rsidRDefault="00E627E7" w:rsidP="00E627E7">
      <w:pPr>
        <w:jc w:val="both"/>
      </w:pPr>
      <w:r w:rsidRPr="00871721">
        <w:t>Que consiste en la probabilidad de que en un momento dado el tenedor de la acción no pueda vender o transar la misma en el mercado por falta de demanda por dicho título.</w:t>
      </w:r>
      <w:r w:rsidRPr="00871721">
        <w:rPr>
          <w:sz w:val="18"/>
          <w:szCs w:val="18"/>
        </w:rPr>
        <w:t xml:space="preserve">  </w:t>
      </w:r>
      <w:r w:rsidRPr="00871721">
        <w:t>Tal situación puede conllevar ajustes en el precio y en los costos de transacción para cerrar una operación en el mercado, lo que podría ocasionar que el inversionista reciba un monto menor al invertido o que éste no pueda liquidar su inversión.</w:t>
      </w:r>
    </w:p>
    <w:p w:rsidR="00E627E7" w:rsidRPr="00871721" w:rsidRDefault="00E627E7" w:rsidP="00E627E7">
      <w:pPr>
        <w:jc w:val="both"/>
        <w:rPr>
          <w:sz w:val="18"/>
          <w:szCs w:val="18"/>
        </w:rPr>
      </w:pPr>
    </w:p>
    <w:p w:rsidR="00E627E7" w:rsidRPr="00871721" w:rsidRDefault="00E627E7" w:rsidP="00E627E7">
      <w:pPr>
        <w:jc w:val="both"/>
        <w:rPr>
          <w:u w:val="single"/>
        </w:rPr>
      </w:pPr>
      <w:r w:rsidRPr="00871721">
        <w:rPr>
          <w:u w:val="single"/>
        </w:rPr>
        <w:t>Riesgo de dilución</w:t>
      </w:r>
    </w:p>
    <w:p w:rsidR="00E627E7" w:rsidRPr="00871721" w:rsidRDefault="00E627E7" w:rsidP="00E627E7">
      <w:pPr>
        <w:jc w:val="both"/>
      </w:pPr>
    </w:p>
    <w:p w:rsidR="00E627E7" w:rsidRPr="00871721" w:rsidRDefault="00E627E7" w:rsidP="00E627E7">
      <w:pPr>
        <w:jc w:val="both"/>
      </w:pPr>
      <w:r w:rsidRPr="00871721">
        <w:t xml:space="preserve">Por la eventual colocación de acciones que pueda llevar a cabo la empresa en el mercado como medio de financiamiento de sus actividades.  El accionista puede verse afectado en su porcentaje de participación por motivo de una nueva emisión de acciones comunes por parte de </w:t>
      </w:r>
      <w:proofErr w:type="spellStart"/>
      <w:r w:rsidRPr="00871721">
        <w:t>Holcim</w:t>
      </w:r>
      <w:proofErr w:type="spellEnd"/>
      <w:r w:rsidRPr="00871721">
        <w:t>, en la que, por alguna razón el accionista decidiera no participar, lo que implicaría una dilución de su participación en el capital común de la empresa.</w:t>
      </w:r>
    </w:p>
    <w:p w:rsidR="00E627E7" w:rsidRPr="00871721" w:rsidRDefault="00E627E7" w:rsidP="00E627E7">
      <w:pPr>
        <w:jc w:val="both"/>
      </w:pPr>
    </w:p>
    <w:p w:rsidR="00E627E7" w:rsidRPr="00871721" w:rsidRDefault="00E627E7" w:rsidP="00E627E7">
      <w:pPr>
        <w:jc w:val="both"/>
      </w:pPr>
      <w:r w:rsidRPr="00871721">
        <w:rPr>
          <w:u w:val="single"/>
        </w:rPr>
        <w:t>Riesgo de volatilidad</w:t>
      </w:r>
      <w:r w:rsidRPr="00871721">
        <w:t xml:space="preserve"> </w:t>
      </w:r>
    </w:p>
    <w:p w:rsidR="00E627E7" w:rsidRPr="00871721" w:rsidRDefault="00E627E7" w:rsidP="00E627E7">
      <w:pPr>
        <w:jc w:val="both"/>
      </w:pPr>
    </w:p>
    <w:p w:rsidR="00E627E7" w:rsidRPr="00871721" w:rsidRDefault="00E627E7" w:rsidP="00E627E7">
      <w:pPr>
        <w:jc w:val="both"/>
      </w:pPr>
      <w:r w:rsidRPr="00871721">
        <w:t>Por la falta de profundidad del mercado nacional, puede ocasionar variaciones significativas en el precio cuando un inversionista hace oferta de venta o de compra de un número significativo de acciones, directamente influenciado por las variaciones en las expectativas del mercado, emisiones adicionales de acciones, Split de acciones y distribución de dividendos.  El accionista se puede ver afectado en el monto a recibir como producto de la venta de sus acciones o en la compra de adicionales.</w:t>
      </w:r>
    </w:p>
    <w:p w:rsidR="00E627E7" w:rsidRPr="00871721" w:rsidRDefault="00E627E7" w:rsidP="00E627E7">
      <w:pPr>
        <w:jc w:val="both"/>
      </w:pPr>
    </w:p>
    <w:p w:rsidR="00E627E7" w:rsidRPr="00871721" w:rsidRDefault="00E627E7" w:rsidP="00E627E7">
      <w:pPr>
        <w:jc w:val="both"/>
        <w:rPr>
          <w:u w:val="single"/>
        </w:rPr>
      </w:pPr>
      <w:r w:rsidRPr="00871721">
        <w:rPr>
          <w:u w:val="single"/>
        </w:rPr>
        <w:t>Riesgo de comercialización</w:t>
      </w:r>
    </w:p>
    <w:p w:rsidR="00E627E7" w:rsidRPr="00871721" w:rsidRDefault="00E627E7" w:rsidP="00E627E7">
      <w:pPr>
        <w:jc w:val="both"/>
      </w:pPr>
    </w:p>
    <w:p w:rsidR="00E627E7" w:rsidRPr="00871721" w:rsidRDefault="00E627E7" w:rsidP="00E627E7">
      <w:pPr>
        <w:jc w:val="both"/>
      </w:pPr>
      <w:r w:rsidRPr="00871721">
        <w:t>El cual se presenta cuando en el mercado existen pocos compradores y vendedores de una acción, por lo que se puede incurrir en altos costos por comisiones para poder cerrar una operación.  Esto puede producir una baja rentabilidad en el retorno esperado o pérdidas mayores a las esperadas.</w:t>
      </w:r>
    </w:p>
    <w:p w:rsidR="00E627E7" w:rsidRPr="00871721" w:rsidRDefault="00E627E7" w:rsidP="00E627E7">
      <w:pPr>
        <w:jc w:val="both"/>
      </w:pPr>
    </w:p>
    <w:p w:rsidR="00E627E7" w:rsidRPr="00871721" w:rsidRDefault="00E627E7" w:rsidP="00E627E7">
      <w:pPr>
        <w:jc w:val="both"/>
        <w:rPr>
          <w:u w:val="single"/>
        </w:rPr>
      </w:pPr>
      <w:r w:rsidRPr="00871721">
        <w:rPr>
          <w:u w:val="single"/>
        </w:rPr>
        <w:t>Riesgo en el tratamiento fiscal</w:t>
      </w:r>
    </w:p>
    <w:p w:rsidR="00E627E7" w:rsidRPr="00871721" w:rsidRDefault="00E627E7" w:rsidP="00E627E7">
      <w:pPr>
        <w:jc w:val="both"/>
      </w:pPr>
    </w:p>
    <w:p w:rsidR="00E627E7" w:rsidRPr="00871721" w:rsidRDefault="00E627E7" w:rsidP="00E627E7">
      <w:pPr>
        <w:jc w:val="both"/>
      </w:pPr>
      <w:r w:rsidRPr="00871721">
        <w:t>El tratamiento fiscal vigente para los ingresos por dividendos puede ser modificado por la Administración Tributaria, motivo por el cual se podrían ver afectados los ingresos netos del inversionista por concepto de dividendos.</w:t>
      </w:r>
    </w:p>
    <w:p w:rsidR="00E627E7" w:rsidRPr="00871721" w:rsidRDefault="00E627E7" w:rsidP="00E627E7">
      <w:pPr>
        <w:jc w:val="both"/>
      </w:pPr>
    </w:p>
    <w:p w:rsidR="00E627E7" w:rsidRPr="00871721" w:rsidRDefault="00E627E7" w:rsidP="00E627E7">
      <w:pPr>
        <w:jc w:val="both"/>
        <w:rPr>
          <w:u w:val="single"/>
        </w:rPr>
      </w:pPr>
      <w:r w:rsidRPr="00871721">
        <w:rPr>
          <w:u w:val="single"/>
        </w:rPr>
        <w:t>Riesgo por la discrecionalidad de la Asamblea de Accionistas para la distribución de los dividendos</w:t>
      </w:r>
    </w:p>
    <w:p w:rsidR="00E627E7" w:rsidRPr="00871721" w:rsidRDefault="00E627E7" w:rsidP="00E627E7">
      <w:pPr>
        <w:jc w:val="both"/>
        <w:rPr>
          <w:u w:val="single"/>
        </w:rPr>
      </w:pPr>
    </w:p>
    <w:p w:rsidR="00E627E7" w:rsidRPr="00871721" w:rsidRDefault="00E627E7" w:rsidP="00E627E7">
      <w:pPr>
        <w:jc w:val="both"/>
      </w:pPr>
      <w:r w:rsidRPr="00871721">
        <w:t xml:space="preserve">La Asamblea General ordinaria de accionistas de </w:t>
      </w:r>
      <w:proofErr w:type="spellStart"/>
      <w:r w:rsidRPr="00871721">
        <w:t>Holcim</w:t>
      </w:r>
      <w:proofErr w:type="spellEnd"/>
      <w:r w:rsidRPr="00871721">
        <w:t xml:space="preserve"> Costa Rica S.A. tiene la discrecionalidad de decretar los dividendos que se pagarán en el período.  La asamblea de accionistas también delega el pago a discreción de la Junta Directiva para que de acuerdo con el flujo de efectivo de la empresa proceda al pago correspondiente, pudiendo aumentar o disminuir el dividendo por acción.  La declaratoria de los dividendos está sujeta a la existencia de utilidades realizadas y líquidas, resultantes del balance aprobado por la asamblea de accionistas, como lo dispone el artículo 27 del Código de Comercio de Costa Rica.</w:t>
      </w:r>
    </w:p>
    <w:p w:rsidR="00E627E7" w:rsidRPr="00871721" w:rsidRDefault="00E627E7" w:rsidP="00E627E7">
      <w:pPr>
        <w:jc w:val="both"/>
      </w:pPr>
    </w:p>
    <w:p w:rsidR="00E627E7" w:rsidRPr="00871721" w:rsidRDefault="00E627E7" w:rsidP="00E627E7">
      <w:pPr>
        <w:jc w:val="both"/>
      </w:pPr>
      <w:r w:rsidRPr="00871721">
        <w:t>Ante este riesgo el accionista podría no recibir el 100% de sus dividendos, o recibir un monto más bajo dependiendo de los flujos generados por la empresa.</w:t>
      </w:r>
    </w:p>
    <w:p w:rsidR="00E627E7" w:rsidRPr="00871721" w:rsidRDefault="00E627E7" w:rsidP="00E627E7">
      <w:pPr>
        <w:jc w:val="both"/>
      </w:pPr>
    </w:p>
    <w:p w:rsidR="00E627E7" w:rsidRPr="00871721" w:rsidRDefault="00E627E7" w:rsidP="00E627E7">
      <w:pPr>
        <w:jc w:val="both"/>
      </w:pPr>
    </w:p>
    <w:p w:rsidR="00E627E7" w:rsidRPr="00871721" w:rsidRDefault="00E627E7" w:rsidP="00E627E7">
      <w:pPr>
        <w:jc w:val="both"/>
        <w:rPr>
          <w:b/>
          <w:sz w:val="24"/>
          <w:szCs w:val="24"/>
        </w:rPr>
      </w:pPr>
      <w:r w:rsidRPr="00871721">
        <w:rPr>
          <w:b/>
          <w:sz w:val="24"/>
          <w:szCs w:val="24"/>
        </w:rPr>
        <w:t xml:space="preserve">Administración de Riesgos </w:t>
      </w:r>
    </w:p>
    <w:p w:rsidR="00E627E7" w:rsidRPr="00871721" w:rsidRDefault="00E627E7" w:rsidP="00E627E7">
      <w:pPr>
        <w:jc w:val="both"/>
        <w:rPr>
          <w:b/>
        </w:rPr>
      </w:pPr>
    </w:p>
    <w:p w:rsidR="00E627E7" w:rsidRPr="00871721" w:rsidRDefault="00E627E7" w:rsidP="00E627E7">
      <w:pPr>
        <w:jc w:val="both"/>
      </w:pPr>
      <w:r w:rsidRPr="00871721">
        <w:t>Con el fin de mitigar los riesgos previamente mencionados, la empresa cuenta con una serie de medidas que permiten en buena medida contrarrestar los efectos de los mismos, entre esas se pueden mencionar:</w:t>
      </w:r>
    </w:p>
    <w:p w:rsidR="00E627E7" w:rsidRPr="00871721" w:rsidRDefault="00E627E7" w:rsidP="00E627E7">
      <w:pPr>
        <w:jc w:val="both"/>
      </w:pPr>
    </w:p>
    <w:p w:rsidR="00E627E7" w:rsidRPr="00871721" w:rsidRDefault="00E627E7" w:rsidP="00E627E7">
      <w:pPr>
        <w:jc w:val="both"/>
        <w:rPr>
          <w:b/>
        </w:rPr>
      </w:pPr>
    </w:p>
    <w:p w:rsidR="00E627E7" w:rsidRPr="00871721" w:rsidRDefault="00E627E7" w:rsidP="00E627E7">
      <w:pPr>
        <w:jc w:val="both"/>
      </w:pPr>
      <w:r w:rsidRPr="00871721">
        <w:rPr>
          <w:b/>
        </w:rPr>
        <w:t xml:space="preserve">Riesgo </w:t>
      </w:r>
      <w:proofErr w:type="spellStart"/>
      <w:r w:rsidRPr="00871721">
        <w:rPr>
          <w:b/>
        </w:rPr>
        <w:t>reputacional</w:t>
      </w:r>
      <w:proofErr w:type="spellEnd"/>
      <w:r w:rsidRPr="00871721">
        <w:rPr>
          <w:b/>
        </w:rPr>
        <w:t>:</w:t>
      </w:r>
      <w:r w:rsidRPr="00871721">
        <w:t xml:space="preserve"> La compañía tiene establecido un sistema de análisis y evaluación de riesgos en donde se considera un riesgo </w:t>
      </w:r>
      <w:proofErr w:type="spellStart"/>
      <w:r w:rsidRPr="00871721">
        <w:t>reputacional</w:t>
      </w:r>
      <w:proofErr w:type="spellEnd"/>
      <w:r w:rsidRPr="00871721">
        <w:t xml:space="preserve"> bajo, debido a que se cuenta con un código de conducta, un proceso claro de gobierno corporativo, un control interno eficazmente ejecutado y acorde con estándares suizos de Gobierno Corporativo, un comité de auditoría y una Junta Directiva que mitigan a un nivel razonable el riesgo de que la compañía se vea impactada por decisiones que inciden en la reputación del negocio de manera significativa. Adicionalmente la compañía cuenta con un comité interdisciplinario de atención de crisis encargado de evaluar los riesgos dependiendo del tipo de crisis. La compañía opera en apego a las leyes y regulaciones aplicables a nuestra industria. </w:t>
      </w:r>
    </w:p>
    <w:p w:rsidR="00E627E7" w:rsidRPr="00871721" w:rsidRDefault="00E627E7" w:rsidP="00E627E7">
      <w:pPr>
        <w:jc w:val="both"/>
      </w:pPr>
    </w:p>
    <w:p w:rsidR="00E627E7" w:rsidRPr="00871721" w:rsidRDefault="00E627E7" w:rsidP="00E627E7">
      <w:pPr>
        <w:jc w:val="both"/>
      </w:pPr>
      <w:r w:rsidRPr="00871721">
        <w:rPr>
          <w:b/>
        </w:rPr>
        <w:t>Riesgo de continuidad de Negocio:</w:t>
      </w:r>
      <w:r w:rsidRPr="00871721">
        <w:t xml:space="preserve"> La compañía cuenta con un Plan de Manejo de Crisis y Continuidad de Negocio, que brinda una respuesta organizada a algunos de los eventos mencionados previamente y que pudiesen interrumpir el normal funcionamiento de los procesos, generando impactos sensibles en el logro de los objetivos. El fundamento de dicho sistema se basa en la metodología sugerida por Casa Matriz conocida como "PEAR" por sus siglas en inglés (</w:t>
      </w:r>
      <w:proofErr w:type="spellStart"/>
      <w:r w:rsidRPr="00871721">
        <w:t>People</w:t>
      </w:r>
      <w:proofErr w:type="spellEnd"/>
      <w:r w:rsidRPr="00871721">
        <w:t xml:space="preserve">, </w:t>
      </w:r>
      <w:proofErr w:type="spellStart"/>
      <w:r w:rsidRPr="00871721">
        <w:t>Environment</w:t>
      </w:r>
      <w:proofErr w:type="spellEnd"/>
      <w:r w:rsidRPr="00871721">
        <w:t xml:space="preserve"> &amp; </w:t>
      </w:r>
      <w:proofErr w:type="spellStart"/>
      <w:r w:rsidRPr="00871721">
        <w:t>Community</w:t>
      </w:r>
      <w:proofErr w:type="spellEnd"/>
      <w:r w:rsidRPr="00871721">
        <w:t xml:space="preserve">, </w:t>
      </w:r>
      <w:proofErr w:type="spellStart"/>
      <w:r w:rsidRPr="00871721">
        <w:t>Assets</w:t>
      </w:r>
      <w:proofErr w:type="spellEnd"/>
      <w:r w:rsidRPr="00871721">
        <w:t xml:space="preserve"> &amp; </w:t>
      </w:r>
      <w:proofErr w:type="spellStart"/>
      <w:r w:rsidRPr="00871721">
        <w:t>Operation</w:t>
      </w:r>
      <w:proofErr w:type="spellEnd"/>
      <w:r w:rsidRPr="00871721">
        <w:t xml:space="preserve"> and </w:t>
      </w:r>
      <w:proofErr w:type="spellStart"/>
      <w:r w:rsidRPr="00871721">
        <w:t>Reputation</w:t>
      </w:r>
      <w:proofErr w:type="spellEnd"/>
      <w:r w:rsidRPr="00871721">
        <w:t xml:space="preserve">), por lo que el análisis de los riesgos realizados en el país se basa en dichos principios. Toda la información se revisa y actualiza de manera anual con el fin de mantener un adecuado protocolo de riesgos y sus efectos.   </w:t>
      </w:r>
    </w:p>
    <w:p w:rsidR="00E627E7" w:rsidRPr="00871721" w:rsidRDefault="00E627E7" w:rsidP="00E627E7">
      <w:pPr>
        <w:jc w:val="both"/>
      </w:pPr>
    </w:p>
    <w:p w:rsidR="00E627E7" w:rsidRPr="00871721" w:rsidRDefault="00E627E7" w:rsidP="00E627E7">
      <w:pPr>
        <w:jc w:val="both"/>
      </w:pPr>
      <w:r w:rsidRPr="00871721">
        <w:t>La compañía en los últimos años se ha preocupado no solo por la rentabilidad sino adicionalmente por la solidez, por lo que actualmente es una compañía sin deuda financiera, y con una normal generación de flujo de efectivo operacional, con indicadores financieros que se ubican por encima de la industria los cuales inciden en que nuestro riesgo de negocio en marcha sea muy bajo. Por otra parte, nuestro sistema de evaluación de riesgos permite tomar decisiones de manera anticipada evitando un deterioro significativo de nuestra posición financiera. Dicho sistema de gestión de riesgos fue crucial al momento de hacerle frente a las disrupciones causadas por el Covid-19 en los ámbitos sanitarios, económicos y sociales del país.</w:t>
      </w:r>
    </w:p>
    <w:p w:rsidR="00E627E7" w:rsidRPr="00871721" w:rsidRDefault="00E627E7" w:rsidP="00E627E7">
      <w:pPr>
        <w:jc w:val="both"/>
      </w:pPr>
    </w:p>
    <w:p w:rsidR="00E627E7" w:rsidRPr="00871721" w:rsidRDefault="00E627E7" w:rsidP="00E627E7">
      <w:pPr>
        <w:jc w:val="both"/>
        <w:rPr>
          <w:b/>
        </w:rPr>
      </w:pPr>
    </w:p>
    <w:p w:rsidR="00E627E7" w:rsidRPr="00871721" w:rsidRDefault="00E627E7" w:rsidP="00E627E7">
      <w:pPr>
        <w:jc w:val="both"/>
      </w:pPr>
      <w:r w:rsidRPr="00871721">
        <w:rPr>
          <w:b/>
        </w:rPr>
        <w:t>Materia Prima:</w:t>
      </w:r>
      <w:r w:rsidRPr="00871721">
        <w:t xml:space="preserve"> La empresa cuenta con fuentes o canteras de dicha materia prima que cubren sus necesidades proyectadas para un horizonte más allá de los cincuenta años.</w:t>
      </w:r>
    </w:p>
    <w:p w:rsidR="00E627E7" w:rsidRPr="00871721" w:rsidRDefault="00E627E7" w:rsidP="00E627E7">
      <w:pPr>
        <w:jc w:val="both"/>
      </w:pPr>
    </w:p>
    <w:p w:rsidR="00E627E7" w:rsidRPr="00871721" w:rsidRDefault="00E627E7" w:rsidP="00E627E7">
      <w:pPr>
        <w:jc w:val="both"/>
      </w:pPr>
      <w:r w:rsidRPr="00871721">
        <w:t>La empresa cuenta con dos canteras de caliza, una en Agua Caliente de Cartago y la otra en Azul de Turrialba.  En la cantera ubicada en Agua Caliente de Cartago, y que es conocida como La Chilena, existen dos concesiones debidamente otorgadas por la Dirección General de Geología y Minas en el año 1974.  El plazo de explotación otorgado es de 99 años, por lo que ambas concesiones vencen en el año 2073; garantizando una vida útil de más de 50 años.</w:t>
      </w:r>
    </w:p>
    <w:p w:rsidR="00E627E7" w:rsidRPr="00871721" w:rsidRDefault="00E627E7" w:rsidP="00E627E7">
      <w:pPr>
        <w:jc w:val="both"/>
      </w:pPr>
    </w:p>
    <w:p w:rsidR="00E627E7" w:rsidRPr="00871721" w:rsidRDefault="00E627E7" w:rsidP="00E627E7">
      <w:pPr>
        <w:jc w:val="both"/>
      </w:pPr>
      <w:r w:rsidRPr="00871721">
        <w:t xml:space="preserve">También tenemos una concesión de respaldo, actualmente en Azul de Turrialba. </w:t>
      </w:r>
    </w:p>
    <w:p w:rsidR="00E627E7" w:rsidRPr="00871721" w:rsidRDefault="00E627E7" w:rsidP="00E627E7">
      <w:pPr>
        <w:jc w:val="both"/>
        <w:rPr>
          <w:u w:val="single"/>
        </w:rPr>
      </w:pPr>
    </w:p>
    <w:p w:rsidR="00E627E7" w:rsidRPr="00871721" w:rsidRDefault="00E627E7" w:rsidP="00E627E7">
      <w:pPr>
        <w:jc w:val="both"/>
      </w:pPr>
      <w:r w:rsidRPr="00871721">
        <w:rPr>
          <w:b/>
        </w:rPr>
        <w:t xml:space="preserve">Fenómenos naturales que inciden en la producción: </w:t>
      </w:r>
      <w:r w:rsidRPr="00871721">
        <w:t>La empresa cuenta con la cobertura de una póliza de todo riesgo, la cual incluye indemnización por interrupción de negocio hasta por un plazo de 12 meses.</w:t>
      </w:r>
    </w:p>
    <w:p w:rsidR="00E627E7" w:rsidRPr="00871721" w:rsidRDefault="00E627E7" w:rsidP="00E627E7">
      <w:pPr>
        <w:jc w:val="both"/>
        <w:rPr>
          <w:u w:val="single"/>
        </w:rPr>
      </w:pPr>
    </w:p>
    <w:p w:rsidR="00E627E7" w:rsidRPr="00871721" w:rsidRDefault="00E627E7" w:rsidP="00E627E7">
      <w:pPr>
        <w:jc w:val="both"/>
        <w:rPr>
          <w:sz w:val="18"/>
          <w:szCs w:val="18"/>
        </w:rPr>
      </w:pPr>
      <w:r w:rsidRPr="00871721">
        <w:rPr>
          <w:b/>
        </w:rPr>
        <w:t xml:space="preserve">Dependencia del funcionamiento de otra empresa: </w:t>
      </w:r>
      <w:r w:rsidRPr="00871721">
        <w:t xml:space="preserve">En el caso de la energía eléctrica se mantiene una relación directa con el ICE al tener una categoría de alta tensión y se coordina con anticipación cualquier evento que pueda afectar la producción de la empresa.  En los últimos 20 años, los cortes no han sido significativos, por lo que no vemos algún indicio que esto cambie en el mediano plazo.  En cuanto a la energía térmica, la utilización de residuos municipales y otras fuentes energéticas nos ha ayudado a disminuir la dependencia de combustibles fósiles. Dicha energía alterna es suministrada por Servicios Ambientales </w:t>
      </w:r>
      <w:proofErr w:type="spellStart"/>
      <w:r w:rsidRPr="00871721">
        <w:t>Geocycle</w:t>
      </w:r>
      <w:proofErr w:type="spellEnd"/>
      <w:r w:rsidRPr="00871721">
        <w:t xml:space="preserve"> S.A.G, S.A.</w:t>
      </w:r>
      <w:r>
        <w:t xml:space="preserve">  </w:t>
      </w:r>
      <w:r>
        <w:rPr>
          <w:sz w:val="20"/>
          <w:szCs w:val="20"/>
        </w:rPr>
        <w:t xml:space="preserve">(Desde 22 de abril de 2024 </w:t>
      </w:r>
      <w:proofErr w:type="spellStart"/>
      <w:r>
        <w:rPr>
          <w:sz w:val="20"/>
          <w:szCs w:val="20"/>
        </w:rPr>
        <w:t>Holcim</w:t>
      </w:r>
      <w:proofErr w:type="spellEnd"/>
      <w:r>
        <w:rPr>
          <w:sz w:val="20"/>
          <w:szCs w:val="20"/>
        </w:rPr>
        <w:t xml:space="preserve"> Costa Rica, S.A.)</w:t>
      </w:r>
      <w:r w:rsidRPr="00871721">
        <w:t>; empresa subsidiaria.</w:t>
      </w:r>
    </w:p>
    <w:p w:rsidR="00E627E7" w:rsidRPr="00871721" w:rsidRDefault="00E627E7" w:rsidP="00E627E7">
      <w:pPr>
        <w:jc w:val="both"/>
        <w:rPr>
          <w:u w:val="single"/>
        </w:rPr>
      </w:pPr>
    </w:p>
    <w:p w:rsidR="00E627E7" w:rsidRPr="00871721" w:rsidRDefault="00E627E7" w:rsidP="00E627E7">
      <w:pPr>
        <w:jc w:val="both"/>
      </w:pPr>
      <w:r w:rsidRPr="00871721">
        <w:rPr>
          <w:b/>
        </w:rPr>
        <w:t xml:space="preserve">Competencia: </w:t>
      </w:r>
      <w:r w:rsidRPr="00871721">
        <w:t xml:space="preserve">En este sentido, la empresa y sus subsidiarias mantienen un esfuerzo permanente en la búsqueda de nuevas y mejores aplicaciones para el cemento. Esto ha permitido proveer un soporte técnico y servicio de la más alta calidad. También se realizaron avances en la implementación de nuestro modelo </w:t>
      </w:r>
      <w:proofErr w:type="spellStart"/>
      <w:r w:rsidRPr="00871721">
        <w:t>retail</w:t>
      </w:r>
      <w:proofErr w:type="spellEnd"/>
      <w:r w:rsidRPr="00871721">
        <w:t xml:space="preserve"> de negocio (</w:t>
      </w:r>
      <w:proofErr w:type="spellStart"/>
      <w:r w:rsidRPr="00871721">
        <w:t>Disensa</w:t>
      </w:r>
      <w:proofErr w:type="spellEnd"/>
      <w:r w:rsidRPr="00871721">
        <w:t>) y así ofrecer soluciones integrales para nuestros clientes.</w:t>
      </w:r>
    </w:p>
    <w:p w:rsidR="00E627E7" w:rsidRPr="00871721" w:rsidRDefault="00E627E7" w:rsidP="00E627E7">
      <w:pPr>
        <w:jc w:val="both"/>
      </w:pPr>
    </w:p>
    <w:p w:rsidR="00E627E7" w:rsidRPr="00871721" w:rsidRDefault="00E627E7" w:rsidP="00E627E7">
      <w:pPr>
        <w:jc w:val="both"/>
      </w:pPr>
      <w:r w:rsidRPr="00871721">
        <w:t xml:space="preserve">Parte de la estrategia del negocio es ser líderes en costos, lo que nos permite mantenernos competitivos aun en entornos desafiantes. </w:t>
      </w:r>
      <w:proofErr w:type="spellStart"/>
      <w:r w:rsidRPr="00871721">
        <w:t>Holcim</w:t>
      </w:r>
      <w:proofErr w:type="spellEnd"/>
      <w:r w:rsidRPr="00871721">
        <w:t xml:space="preserve"> es un grupo global presente en más de 50 países en donde participar en mercados competitivos es parte de nuestra forma de hacer negocios.</w:t>
      </w:r>
    </w:p>
    <w:p w:rsidR="00E627E7" w:rsidRPr="00871721" w:rsidRDefault="00E627E7" w:rsidP="00E627E7">
      <w:pPr>
        <w:jc w:val="both"/>
        <w:rPr>
          <w:sz w:val="18"/>
          <w:szCs w:val="18"/>
        </w:rPr>
      </w:pPr>
    </w:p>
    <w:p w:rsidR="00E627E7" w:rsidRPr="00871721" w:rsidRDefault="00E627E7" w:rsidP="00E627E7">
      <w:pPr>
        <w:jc w:val="both"/>
      </w:pPr>
      <w:r w:rsidRPr="00871721">
        <w:rPr>
          <w:b/>
        </w:rPr>
        <w:t xml:space="preserve">Variación de precio de valores: </w:t>
      </w:r>
      <w:r w:rsidRPr="00871721">
        <w:t>Este es un riesgo del mercado de valores y corresponde su administración al inversionista.</w:t>
      </w:r>
    </w:p>
    <w:p w:rsidR="00E627E7" w:rsidRPr="00871721" w:rsidRDefault="00E627E7" w:rsidP="00E627E7">
      <w:pPr>
        <w:jc w:val="both"/>
      </w:pPr>
    </w:p>
    <w:p w:rsidR="00E627E7" w:rsidRPr="00871721" w:rsidRDefault="00E627E7" w:rsidP="00E627E7">
      <w:pPr>
        <w:jc w:val="both"/>
      </w:pPr>
      <w:r w:rsidRPr="00871721">
        <w:rPr>
          <w:b/>
        </w:rPr>
        <w:t xml:space="preserve">Nivel de endeudamiento: </w:t>
      </w:r>
      <w:r w:rsidRPr="00871721">
        <w:t xml:space="preserve">De acuerdo con el artículo 116 de la Ley Orgánica del Banco Central de Costa Rica, las empresas de los sectores no financieros que soliciten registro en la SUGEVAL no podrán exceder un nivel de endeudamiento total de cuatro veces su capital y reservas de acuerdo con la metodología que establezca el Superintendente General de Valores.  El nivel de endeudamiento es calculado como el pasivo total sobre el patrimonio neto (se excluyen las utilidades disponibles para distribuir a los accionistas). </w:t>
      </w:r>
      <w:r w:rsidRPr="00871721">
        <w:rPr>
          <w:color w:val="FF0000"/>
        </w:rPr>
        <w:t xml:space="preserve"> </w:t>
      </w:r>
      <w:r w:rsidRPr="00871721">
        <w:t>Al cierre de diciembre de 2023 esta razón cerró en 2.2.</w:t>
      </w:r>
    </w:p>
    <w:p w:rsidR="00E627E7" w:rsidRPr="00871721" w:rsidRDefault="00E627E7" w:rsidP="00E627E7">
      <w:pPr>
        <w:jc w:val="both"/>
      </w:pPr>
    </w:p>
    <w:p w:rsidR="00E627E7" w:rsidRPr="00871721" w:rsidRDefault="00E627E7" w:rsidP="00E627E7">
      <w:pPr>
        <w:jc w:val="both"/>
      </w:pPr>
      <w:r w:rsidRPr="00871721">
        <w:t>Para no exceder este nivel de endeudamiento, la Asamblea de Accionistas acordó en 2009, 2013 y 2014, crear una partida de utilidades restringidas, la cual actualmente es de once mil millones de colones (11,000,000,000 de colones), lo cual le da a la Compañía la holgura suficiente para no afectar la colocación de las emisiones descritas en este prospecto.</w:t>
      </w:r>
    </w:p>
    <w:p w:rsidR="00E627E7" w:rsidRPr="00871721" w:rsidRDefault="00E627E7" w:rsidP="00E627E7">
      <w:pPr>
        <w:jc w:val="both"/>
      </w:pPr>
    </w:p>
    <w:p w:rsidR="00E627E7" w:rsidRPr="00871721" w:rsidRDefault="00E627E7" w:rsidP="00E627E7">
      <w:pPr>
        <w:jc w:val="both"/>
      </w:pPr>
      <w:r w:rsidRPr="00871721">
        <w:rPr>
          <w:b/>
        </w:rPr>
        <w:t xml:space="preserve">Tipo de Cambio: </w:t>
      </w:r>
      <w:r w:rsidRPr="00871721">
        <w:t xml:space="preserve">A pesar de que la principal moneda de los ingresos de </w:t>
      </w:r>
      <w:proofErr w:type="spellStart"/>
      <w:r w:rsidRPr="00871721">
        <w:t>Holcim</w:t>
      </w:r>
      <w:proofErr w:type="spellEnd"/>
      <w:r w:rsidRPr="00871721">
        <w:t xml:space="preserve"> son en colones, también genera ingresos en dólares para responder por sus obligaciones.</w:t>
      </w:r>
      <w:r w:rsidRPr="00871721">
        <w:rPr>
          <w:sz w:val="18"/>
          <w:szCs w:val="18"/>
        </w:rPr>
        <w:t xml:space="preserve">  </w:t>
      </w:r>
      <w:r w:rsidRPr="00871721">
        <w:t>La posición financiera neta de los últimos períodos ha sido favorable, es decir la compañía mantiene más activos denominados en dólares que pasivos en dólares.</w:t>
      </w:r>
    </w:p>
    <w:p w:rsidR="00E627E7" w:rsidRPr="00871721" w:rsidRDefault="00E627E7" w:rsidP="00E627E7">
      <w:pPr>
        <w:jc w:val="both"/>
      </w:pPr>
    </w:p>
    <w:p w:rsidR="00E627E7" w:rsidRPr="00871721" w:rsidRDefault="00E627E7" w:rsidP="00E627E7">
      <w:pPr>
        <w:jc w:val="both"/>
        <w:rPr>
          <w:u w:val="single"/>
        </w:rPr>
      </w:pPr>
      <w:r w:rsidRPr="00871721">
        <w:rPr>
          <w:b/>
        </w:rPr>
        <w:t xml:space="preserve">Situaciones políticas: </w:t>
      </w:r>
      <w:r w:rsidRPr="00871721">
        <w:t xml:space="preserve">La empresa anualmente realiza un análisis de la situación política nacional e internacional, con el fin de considerar las condiciones dentro del Apetito de Riesgo de la Empresa para lograr equilibrar la situación comercial y económica de la compañía con la situación país.  Asimismo, las políticas y directrices internas buscan que la compañía se mantenga estable, independientemente de los cambios a nivel político. </w:t>
      </w:r>
    </w:p>
    <w:p w:rsidR="00E627E7" w:rsidRPr="00871721" w:rsidRDefault="00E627E7" w:rsidP="00E627E7">
      <w:pPr>
        <w:jc w:val="both"/>
        <w:rPr>
          <w:u w:val="single"/>
        </w:rPr>
      </w:pPr>
    </w:p>
    <w:p w:rsidR="00E627E7" w:rsidRPr="00871721" w:rsidRDefault="00E627E7" w:rsidP="00E627E7">
      <w:pPr>
        <w:jc w:val="both"/>
      </w:pPr>
      <w:r w:rsidRPr="00871721">
        <w:rPr>
          <w:b/>
        </w:rPr>
        <w:t>Recesión económica o disminución sistemática de la demanda:</w:t>
      </w:r>
      <w:r w:rsidRPr="00871721">
        <w:t xml:space="preserve"> Aunque la industria de la construcción se ha visto impactada en los últimos años, las eficiencias en los costos industriales y de procesos de soporte, nos ha permitido mantener la rentabilidad del negocio en los últimos años.</w:t>
      </w:r>
    </w:p>
    <w:p w:rsidR="00E627E7" w:rsidRPr="00871721" w:rsidRDefault="00E627E7" w:rsidP="00E627E7">
      <w:pPr>
        <w:jc w:val="both"/>
      </w:pPr>
    </w:p>
    <w:p w:rsidR="00E627E7" w:rsidRPr="00871721" w:rsidRDefault="00E627E7" w:rsidP="00E627E7">
      <w:pPr>
        <w:jc w:val="both"/>
      </w:pPr>
    </w:p>
    <w:p w:rsidR="00E627E7" w:rsidRPr="00871721" w:rsidRDefault="00E627E7" w:rsidP="00E627E7">
      <w:pPr>
        <w:jc w:val="both"/>
      </w:pPr>
    </w:p>
    <w:p w:rsidR="00E627E7" w:rsidRPr="00871721" w:rsidRDefault="00E627E7" w:rsidP="00E627E7">
      <w:pPr>
        <w:jc w:val="both"/>
        <w:rPr>
          <w:b/>
          <w:sz w:val="24"/>
          <w:szCs w:val="24"/>
        </w:rPr>
      </w:pPr>
      <w:r w:rsidRPr="00871721">
        <w:rPr>
          <w:b/>
          <w:sz w:val="24"/>
          <w:szCs w:val="24"/>
        </w:rPr>
        <w:t>Indicadores Financieros</w:t>
      </w:r>
    </w:p>
    <w:p w:rsidR="00E627E7" w:rsidRPr="00871721" w:rsidRDefault="00E627E7" w:rsidP="00E627E7">
      <w:pPr>
        <w:jc w:val="both"/>
      </w:pPr>
    </w:p>
    <w:p w:rsidR="00E627E7" w:rsidRPr="00871721" w:rsidRDefault="00E627E7" w:rsidP="00E627E7">
      <w:pPr>
        <w:jc w:val="both"/>
      </w:pPr>
      <w:r w:rsidRPr="00871721">
        <w:t xml:space="preserve">La información que se presenta a continuación se encuentra en miles de colones y se basan en los Estados Financieros consolidados de </w:t>
      </w:r>
      <w:proofErr w:type="spellStart"/>
      <w:r w:rsidRPr="00871721">
        <w:t>Holcim</w:t>
      </w:r>
      <w:proofErr w:type="spellEnd"/>
      <w:r w:rsidRPr="00871721">
        <w:t xml:space="preserve"> (Costa Rica), S.A. al 31 de diciembre del 2023 y 2022 (Anexo No.02).</w:t>
      </w:r>
    </w:p>
    <w:p w:rsidR="00E627E7" w:rsidRPr="00871721" w:rsidRDefault="00E627E7" w:rsidP="00E627E7">
      <w:pPr>
        <w:jc w:val="both"/>
      </w:pPr>
    </w:p>
    <w:p w:rsidR="00E627E7" w:rsidRPr="00871721" w:rsidRDefault="00E627E7" w:rsidP="00E627E7">
      <w:pPr>
        <w:jc w:val="both"/>
        <w:rPr>
          <w:sz w:val="20"/>
          <w:szCs w:val="20"/>
        </w:rPr>
      </w:pPr>
    </w:p>
    <w:tbl>
      <w:tblPr>
        <w:tblW w:w="9728" w:type="dxa"/>
        <w:jc w:val="center"/>
        <w:tblBorders>
          <w:top w:val="single" w:sz="4" w:space="0" w:color="666666"/>
          <w:left w:val="single" w:sz="4" w:space="0" w:color="000000"/>
          <w:bottom w:val="single" w:sz="4" w:space="0" w:color="666666"/>
          <w:right w:val="single" w:sz="4" w:space="0" w:color="000000"/>
          <w:insideH w:val="single" w:sz="4" w:space="0" w:color="666666"/>
          <w:insideV w:val="single" w:sz="4" w:space="0" w:color="666666"/>
        </w:tblBorders>
        <w:tblLayout w:type="fixed"/>
        <w:tblLook w:val="04A0" w:firstRow="1" w:lastRow="0" w:firstColumn="1" w:lastColumn="0" w:noHBand="0" w:noVBand="1"/>
      </w:tblPr>
      <w:tblGrid>
        <w:gridCol w:w="4395"/>
        <w:gridCol w:w="2551"/>
        <w:gridCol w:w="2782"/>
      </w:tblGrid>
      <w:tr w:rsidR="00E627E7" w:rsidRPr="00871721" w:rsidTr="00E02D6F">
        <w:trPr>
          <w:trHeight w:val="330"/>
          <w:jc w:val="center"/>
        </w:trPr>
        <w:tc>
          <w:tcPr>
            <w:tcW w:w="4395" w:type="dxa"/>
          </w:tcPr>
          <w:p w:rsidR="00E627E7" w:rsidRPr="00871721" w:rsidRDefault="00E627E7" w:rsidP="00E02D6F">
            <w:r w:rsidRPr="00871721">
              <w:t>INDICES DE LIQUIDEZ</w:t>
            </w:r>
          </w:p>
        </w:tc>
        <w:tc>
          <w:tcPr>
            <w:tcW w:w="2551" w:type="dxa"/>
          </w:tcPr>
          <w:p w:rsidR="00E627E7" w:rsidRPr="00871721" w:rsidRDefault="00E627E7" w:rsidP="00E02D6F"/>
        </w:tc>
        <w:tc>
          <w:tcPr>
            <w:tcW w:w="2782" w:type="dxa"/>
          </w:tcPr>
          <w:p w:rsidR="00E627E7" w:rsidRPr="00871721" w:rsidRDefault="00E627E7" w:rsidP="00E02D6F"/>
        </w:tc>
      </w:tr>
      <w:tr w:rsidR="00E627E7" w:rsidRPr="00871721" w:rsidTr="00E02D6F">
        <w:trPr>
          <w:trHeight w:val="315"/>
          <w:jc w:val="center"/>
        </w:trPr>
        <w:tc>
          <w:tcPr>
            <w:tcW w:w="4395" w:type="dxa"/>
          </w:tcPr>
          <w:p w:rsidR="00E627E7" w:rsidRPr="00871721" w:rsidRDefault="00E627E7" w:rsidP="00E02D6F"/>
        </w:tc>
        <w:tc>
          <w:tcPr>
            <w:tcW w:w="2551" w:type="dxa"/>
            <w:vAlign w:val="bottom"/>
          </w:tcPr>
          <w:p w:rsidR="00E627E7" w:rsidRPr="00871721" w:rsidRDefault="00E627E7" w:rsidP="00E02D6F">
            <w:pPr>
              <w:jc w:val="center"/>
              <w:rPr>
                <w:b/>
              </w:rPr>
            </w:pPr>
            <w:r w:rsidRPr="00871721">
              <w:rPr>
                <w:b/>
              </w:rPr>
              <w:t>2023</w:t>
            </w:r>
          </w:p>
        </w:tc>
        <w:tc>
          <w:tcPr>
            <w:tcW w:w="2782" w:type="dxa"/>
            <w:vAlign w:val="bottom"/>
          </w:tcPr>
          <w:p w:rsidR="00E627E7" w:rsidRPr="00871721" w:rsidRDefault="00E627E7" w:rsidP="00E02D6F">
            <w:pPr>
              <w:jc w:val="center"/>
              <w:rPr>
                <w:b/>
              </w:rPr>
            </w:pPr>
            <w:r w:rsidRPr="00871721">
              <w:rPr>
                <w:b/>
              </w:rPr>
              <w:t>2022</w:t>
            </w:r>
          </w:p>
        </w:tc>
      </w:tr>
      <w:tr w:rsidR="00E627E7" w:rsidRPr="00871721" w:rsidTr="00E02D6F">
        <w:trPr>
          <w:trHeight w:val="240"/>
          <w:jc w:val="center"/>
        </w:trPr>
        <w:tc>
          <w:tcPr>
            <w:tcW w:w="4395" w:type="dxa"/>
          </w:tcPr>
          <w:p w:rsidR="00E627E7" w:rsidRPr="00871721" w:rsidRDefault="00E627E7" w:rsidP="00E02D6F"/>
        </w:tc>
        <w:tc>
          <w:tcPr>
            <w:tcW w:w="2551" w:type="dxa"/>
          </w:tcPr>
          <w:p w:rsidR="00E627E7" w:rsidRPr="00871721" w:rsidRDefault="00E627E7" w:rsidP="00E02D6F"/>
        </w:tc>
        <w:tc>
          <w:tcPr>
            <w:tcW w:w="2782" w:type="dxa"/>
          </w:tcPr>
          <w:p w:rsidR="00E627E7" w:rsidRPr="00871721" w:rsidRDefault="00E627E7" w:rsidP="00E02D6F"/>
        </w:tc>
      </w:tr>
      <w:tr w:rsidR="00E627E7" w:rsidRPr="00871721" w:rsidTr="00E02D6F">
        <w:trPr>
          <w:trHeight w:val="330"/>
          <w:jc w:val="center"/>
        </w:trPr>
        <w:tc>
          <w:tcPr>
            <w:tcW w:w="4395" w:type="dxa"/>
          </w:tcPr>
          <w:p w:rsidR="00E627E7" w:rsidRPr="00871721" w:rsidRDefault="00E627E7" w:rsidP="00E02D6F">
            <w:r w:rsidRPr="00871721">
              <w:t>Activo Circulante</w:t>
            </w:r>
          </w:p>
        </w:tc>
        <w:tc>
          <w:tcPr>
            <w:tcW w:w="2551" w:type="dxa"/>
          </w:tcPr>
          <w:p w:rsidR="00E627E7" w:rsidRPr="00871721" w:rsidRDefault="00E627E7" w:rsidP="00E02D6F">
            <w:pPr>
              <w:jc w:val="right"/>
            </w:pPr>
            <w:r w:rsidRPr="00871721">
              <w:t>43,746,998</w:t>
            </w:r>
          </w:p>
        </w:tc>
        <w:tc>
          <w:tcPr>
            <w:tcW w:w="2782" w:type="dxa"/>
          </w:tcPr>
          <w:p w:rsidR="00E627E7" w:rsidRPr="00871721" w:rsidRDefault="00E627E7" w:rsidP="00E02D6F">
            <w:pPr>
              <w:jc w:val="right"/>
            </w:pPr>
            <w:r w:rsidRPr="00871721">
              <w:t xml:space="preserve">         37,529,688</w:t>
            </w:r>
          </w:p>
        </w:tc>
      </w:tr>
      <w:tr w:rsidR="00E627E7" w:rsidRPr="00871721" w:rsidTr="00E02D6F">
        <w:trPr>
          <w:trHeight w:val="330"/>
          <w:jc w:val="center"/>
        </w:trPr>
        <w:tc>
          <w:tcPr>
            <w:tcW w:w="4395" w:type="dxa"/>
          </w:tcPr>
          <w:p w:rsidR="00E627E7" w:rsidRPr="00871721" w:rsidRDefault="00E627E7" w:rsidP="00E02D6F">
            <w:r w:rsidRPr="00871721">
              <w:t>Pasivo Circulante</w:t>
            </w:r>
          </w:p>
        </w:tc>
        <w:tc>
          <w:tcPr>
            <w:tcW w:w="2551" w:type="dxa"/>
          </w:tcPr>
          <w:p w:rsidR="00E627E7" w:rsidRPr="00871721" w:rsidRDefault="00E627E7" w:rsidP="00E02D6F">
            <w:pPr>
              <w:jc w:val="right"/>
            </w:pPr>
            <w:r w:rsidRPr="00871721">
              <w:t>26,987,352</w:t>
            </w:r>
          </w:p>
        </w:tc>
        <w:tc>
          <w:tcPr>
            <w:tcW w:w="2782" w:type="dxa"/>
          </w:tcPr>
          <w:p w:rsidR="00E627E7" w:rsidRPr="00871721" w:rsidRDefault="00E627E7" w:rsidP="00E02D6F">
            <w:pPr>
              <w:jc w:val="right"/>
            </w:pPr>
            <w:r w:rsidRPr="00871721">
              <w:t xml:space="preserve">           26,023,036</w:t>
            </w:r>
          </w:p>
        </w:tc>
      </w:tr>
      <w:tr w:rsidR="00E627E7" w:rsidRPr="00871721" w:rsidTr="00E02D6F">
        <w:trPr>
          <w:trHeight w:val="490"/>
          <w:jc w:val="center"/>
        </w:trPr>
        <w:tc>
          <w:tcPr>
            <w:tcW w:w="4395" w:type="dxa"/>
          </w:tcPr>
          <w:p w:rsidR="00E627E7" w:rsidRPr="00871721" w:rsidRDefault="00E627E7" w:rsidP="00E02D6F">
            <w:r w:rsidRPr="00871721">
              <w:t>Razón Circulante - (Activo Circulante/Pasivo Circulante) -</w:t>
            </w:r>
          </w:p>
        </w:tc>
        <w:tc>
          <w:tcPr>
            <w:tcW w:w="2551" w:type="dxa"/>
          </w:tcPr>
          <w:p w:rsidR="00E627E7" w:rsidRPr="00871721" w:rsidRDefault="00E627E7" w:rsidP="00E02D6F">
            <w:pPr>
              <w:jc w:val="right"/>
            </w:pPr>
            <w:r w:rsidRPr="00871721">
              <w:t>1.62</w:t>
            </w:r>
          </w:p>
        </w:tc>
        <w:tc>
          <w:tcPr>
            <w:tcW w:w="2782" w:type="dxa"/>
          </w:tcPr>
          <w:p w:rsidR="00E627E7" w:rsidRPr="00871721" w:rsidRDefault="00E627E7" w:rsidP="00E02D6F">
            <w:pPr>
              <w:jc w:val="right"/>
            </w:pPr>
            <w:r w:rsidRPr="00871721">
              <w:t xml:space="preserve">                 1.44</w:t>
            </w:r>
          </w:p>
        </w:tc>
      </w:tr>
      <w:tr w:rsidR="00E627E7" w:rsidRPr="00871721" w:rsidTr="00E02D6F">
        <w:trPr>
          <w:trHeight w:val="315"/>
          <w:jc w:val="center"/>
        </w:trPr>
        <w:tc>
          <w:tcPr>
            <w:tcW w:w="4395" w:type="dxa"/>
          </w:tcPr>
          <w:p w:rsidR="00E627E7" w:rsidRPr="00871721" w:rsidRDefault="00E627E7" w:rsidP="00E02D6F">
            <w:r w:rsidRPr="00871721">
              <w:t>Activo Circulante excluido Inventario</w:t>
            </w:r>
          </w:p>
        </w:tc>
        <w:tc>
          <w:tcPr>
            <w:tcW w:w="2551" w:type="dxa"/>
          </w:tcPr>
          <w:p w:rsidR="00E627E7" w:rsidRPr="00871721" w:rsidRDefault="00E627E7" w:rsidP="00E02D6F">
            <w:pPr>
              <w:jc w:val="right"/>
            </w:pPr>
            <w:r w:rsidRPr="00871721">
              <w:t>33,982,856</w:t>
            </w:r>
          </w:p>
        </w:tc>
        <w:tc>
          <w:tcPr>
            <w:tcW w:w="2782" w:type="dxa"/>
          </w:tcPr>
          <w:p w:rsidR="00E627E7" w:rsidRPr="00871721" w:rsidRDefault="00E627E7" w:rsidP="00E02D6F">
            <w:pPr>
              <w:jc w:val="right"/>
            </w:pPr>
            <w:r w:rsidRPr="00871721">
              <w:t xml:space="preserve">           27,140,070 </w:t>
            </w:r>
          </w:p>
        </w:tc>
      </w:tr>
      <w:tr w:rsidR="00E627E7" w:rsidRPr="00871721" w:rsidTr="00E02D6F">
        <w:trPr>
          <w:trHeight w:val="360"/>
          <w:jc w:val="center"/>
        </w:trPr>
        <w:tc>
          <w:tcPr>
            <w:tcW w:w="4395" w:type="dxa"/>
          </w:tcPr>
          <w:p w:rsidR="00E627E7" w:rsidRPr="00871721" w:rsidRDefault="00E627E7" w:rsidP="00E02D6F">
            <w:r w:rsidRPr="00871721">
              <w:t>Pasivo Circulante</w:t>
            </w:r>
          </w:p>
        </w:tc>
        <w:tc>
          <w:tcPr>
            <w:tcW w:w="2551" w:type="dxa"/>
          </w:tcPr>
          <w:p w:rsidR="00E627E7" w:rsidRPr="00871721" w:rsidRDefault="00E627E7" w:rsidP="00E02D6F">
            <w:pPr>
              <w:jc w:val="right"/>
            </w:pPr>
            <w:r w:rsidRPr="00871721">
              <w:t>26,987,352</w:t>
            </w:r>
          </w:p>
        </w:tc>
        <w:tc>
          <w:tcPr>
            <w:tcW w:w="2782" w:type="dxa"/>
          </w:tcPr>
          <w:p w:rsidR="00E627E7" w:rsidRPr="00871721" w:rsidRDefault="00E627E7" w:rsidP="00E02D6F">
            <w:pPr>
              <w:jc w:val="right"/>
            </w:pPr>
            <w:r w:rsidRPr="00871721">
              <w:t xml:space="preserve">           26,023,036</w:t>
            </w:r>
          </w:p>
        </w:tc>
      </w:tr>
      <w:tr w:rsidR="00E627E7" w:rsidRPr="00871721" w:rsidTr="00E02D6F">
        <w:trPr>
          <w:trHeight w:val="405"/>
          <w:jc w:val="center"/>
        </w:trPr>
        <w:tc>
          <w:tcPr>
            <w:tcW w:w="4395" w:type="dxa"/>
          </w:tcPr>
          <w:p w:rsidR="00E627E7" w:rsidRPr="00871721" w:rsidRDefault="00E627E7" w:rsidP="00E02D6F">
            <w:r w:rsidRPr="00871721">
              <w:t>Razón Ácida - (</w:t>
            </w:r>
            <w:proofErr w:type="spellStart"/>
            <w:r w:rsidRPr="00871721">
              <w:t>Act</w:t>
            </w:r>
            <w:proofErr w:type="spellEnd"/>
            <w:r w:rsidRPr="00871721">
              <w:t>. Circulante - Inventario)/Pasivo Circulante) -</w:t>
            </w:r>
          </w:p>
        </w:tc>
        <w:tc>
          <w:tcPr>
            <w:tcW w:w="2551" w:type="dxa"/>
          </w:tcPr>
          <w:p w:rsidR="00E627E7" w:rsidRPr="00871721" w:rsidRDefault="00E627E7" w:rsidP="00E02D6F">
            <w:pPr>
              <w:jc w:val="right"/>
            </w:pPr>
            <w:r w:rsidRPr="00871721">
              <w:t>1.26</w:t>
            </w:r>
          </w:p>
        </w:tc>
        <w:tc>
          <w:tcPr>
            <w:tcW w:w="2782" w:type="dxa"/>
          </w:tcPr>
          <w:p w:rsidR="00E627E7" w:rsidRPr="00871721" w:rsidRDefault="00E627E7" w:rsidP="00E02D6F">
            <w:pPr>
              <w:jc w:val="right"/>
            </w:pPr>
            <w:r w:rsidRPr="00871721">
              <w:t xml:space="preserve">                      1.04</w:t>
            </w:r>
          </w:p>
        </w:tc>
      </w:tr>
    </w:tbl>
    <w:p w:rsidR="00E627E7" w:rsidRPr="00871721" w:rsidRDefault="00E627E7" w:rsidP="00E627E7">
      <w:pPr>
        <w:jc w:val="both"/>
      </w:pPr>
    </w:p>
    <w:p w:rsidR="00E627E7" w:rsidRPr="00871721" w:rsidRDefault="00E627E7" w:rsidP="00E627E7">
      <w:pPr>
        <w:jc w:val="both"/>
        <w:rPr>
          <w:sz w:val="24"/>
          <w:szCs w:val="24"/>
        </w:rPr>
      </w:pPr>
    </w:p>
    <w:p w:rsidR="00E627E7" w:rsidRPr="00871721" w:rsidRDefault="00E627E7" w:rsidP="00E627E7">
      <w:pPr>
        <w:jc w:val="both"/>
      </w:pPr>
      <w:r w:rsidRPr="00871721">
        <w:rPr>
          <w:b/>
        </w:rPr>
        <w:t>Razón circulante:</w:t>
      </w:r>
      <w:r w:rsidRPr="00871721">
        <w:t xml:space="preserve"> el cálculo de esta razón corresponde a dividir el activo circulante entre el pasivo circulante, y se interpreta como el número de veces que el activo a corto plazo cubre el pasivo a corto plazo.</w:t>
      </w:r>
    </w:p>
    <w:p w:rsidR="00E627E7" w:rsidRPr="00871721" w:rsidRDefault="00E627E7" w:rsidP="00E627E7">
      <w:pPr>
        <w:jc w:val="both"/>
      </w:pPr>
    </w:p>
    <w:p w:rsidR="00E627E7" w:rsidRPr="00871721" w:rsidRDefault="00E627E7" w:rsidP="00E627E7">
      <w:pPr>
        <w:jc w:val="both"/>
      </w:pPr>
      <w:r w:rsidRPr="00871721">
        <w:t xml:space="preserve">Si bien los pasivos circulantes presentaron un incremento en 2023, la razón circulante se vio impactada principalmente por depósito temporal realizado a parte relacionada, el cual incrementó un 17% los activos circulantes en 2023 comparado con 2022. </w:t>
      </w:r>
    </w:p>
    <w:p w:rsidR="00E627E7" w:rsidRPr="00871721" w:rsidRDefault="00E627E7" w:rsidP="00E627E7">
      <w:pPr>
        <w:jc w:val="both"/>
      </w:pPr>
    </w:p>
    <w:p w:rsidR="00E627E7" w:rsidRPr="00871721" w:rsidRDefault="00E627E7" w:rsidP="00E627E7">
      <w:pPr>
        <w:jc w:val="both"/>
      </w:pPr>
      <w:r w:rsidRPr="00871721">
        <w:rPr>
          <w:b/>
        </w:rPr>
        <w:t>Razón ácida:</w:t>
      </w:r>
      <w:r w:rsidRPr="00871721">
        <w:t xml:space="preserve"> esta razón se calcula tomando el activo circulante, restándole los inventarios y al resultado anterior se le divide entre el pasivo circulante.  Se interpreta como el número de veces en que la empresa puede pagar las obligaciones a corto plazo con sus activos líquidos.</w:t>
      </w:r>
    </w:p>
    <w:p w:rsidR="00E627E7" w:rsidRPr="00871721" w:rsidRDefault="00E627E7" w:rsidP="00E627E7">
      <w:pPr>
        <w:jc w:val="both"/>
      </w:pPr>
    </w:p>
    <w:p w:rsidR="00E627E7" w:rsidRPr="00871721" w:rsidRDefault="00E627E7" w:rsidP="00E627E7">
      <w:pPr>
        <w:jc w:val="both"/>
      </w:pPr>
      <w:r w:rsidRPr="00871721">
        <w:t xml:space="preserve">Adicionalmente al crecimiento en el activo circulante, las negociaciones con proveedores, han apoyado la liquidez en el corto plazo. </w:t>
      </w:r>
    </w:p>
    <w:p w:rsidR="00E627E7" w:rsidRPr="00871721" w:rsidRDefault="00E627E7" w:rsidP="00E627E7">
      <w:pPr>
        <w:jc w:val="both"/>
        <w:rPr>
          <w:color w:val="FF0000"/>
        </w:rPr>
      </w:pPr>
    </w:p>
    <w:p w:rsidR="00E627E7" w:rsidRPr="00871721" w:rsidRDefault="00E627E7" w:rsidP="00E627E7">
      <w:r w:rsidRPr="00871721">
        <w:t xml:space="preserve"> </w:t>
      </w:r>
    </w:p>
    <w:tbl>
      <w:tblPr>
        <w:tblW w:w="9498" w:type="dxa"/>
        <w:tblInd w:w="-5" w:type="dxa"/>
        <w:tblLayout w:type="fixed"/>
        <w:tblLook w:val="0400" w:firstRow="0" w:lastRow="0" w:firstColumn="0" w:lastColumn="0" w:noHBand="0" w:noVBand="1"/>
      </w:tblPr>
      <w:tblGrid>
        <w:gridCol w:w="6004"/>
        <w:gridCol w:w="1519"/>
        <w:gridCol w:w="1975"/>
      </w:tblGrid>
      <w:tr w:rsidR="00E627E7" w:rsidRPr="00871721" w:rsidTr="00E02D6F">
        <w:trPr>
          <w:trHeight w:val="435"/>
        </w:trPr>
        <w:tc>
          <w:tcPr>
            <w:tcW w:w="9498" w:type="dxa"/>
            <w:gridSpan w:val="3"/>
            <w:tcBorders>
              <w:top w:val="nil"/>
              <w:left w:val="single" w:sz="4" w:space="0" w:color="000000"/>
              <w:bottom w:val="single" w:sz="12" w:space="0" w:color="666666"/>
              <w:right w:val="single" w:sz="4" w:space="0" w:color="000000"/>
            </w:tcBorders>
            <w:shd w:val="clear" w:color="auto" w:fill="FFFFFF"/>
          </w:tcPr>
          <w:p w:rsidR="00E627E7" w:rsidRPr="00871721" w:rsidRDefault="00E627E7" w:rsidP="00E02D6F">
            <w:pPr>
              <w:rPr>
                <w:b/>
              </w:rPr>
            </w:pPr>
            <w:r w:rsidRPr="00871721">
              <w:t>ÍNDICES DE RENTABILIDAD</w:t>
            </w:r>
          </w:p>
        </w:tc>
      </w:tr>
      <w:tr w:rsidR="00E627E7" w:rsidRPr="00871721" w:rsidTr="00E02D6F">
        <w:trPr>
          <w:trHeight w:val="240"/>
        </w:trPr>
        <w:tc>
          <w:tcPr>
            <w:tcW w:w="6004" w:type="dxa"/>
            <w:tcBorders>
              <w:top w:val="nil"/>
              <w:left w:val="single" w:sz="4" w:space="0" w:color="000000"/>
              <w:bottom w:val="single" w:sz="4" w:space="0" w:color="666666"/>
              <w:right w:val="single" w:sz="4" w:space="0" w:color="666666"/>
            </w:tcBorders>
            <w:shd w:val="clear" w:color="auto" w:fill="CCCCCC"/>
          </w:tcPr>
          <w:p w:rsidR="00E627E7" w:rsidRPr="00871721" w:rsidRDefault="00E627E7" w:rsidP="00E02D6F"/>
        </w:tc>
        <w:tc>
          <w:tcPr>
            <w:tcW w:w="1519" w:type="dxa"/>
            <w:tcBorders>
              <w:top w:val="nil"/>
              <w:left w:val="nil"/>
              <w:bottom w:val="single" w:sz="4" w:space="0" w:color="666666"/>
              <w:right w:val="single" w:sz="4" w:space="0" w:color="666666"/>
            </w:tcBorders>
            <w:shd w:val="clear" w:color="auto" w:fill="CCCCCC"/>
          </w:tcPr>
          <w:p w:rsidR="00E627E7" w:rsidRPr="00871721" w:rsidRDefault="00E627E7" w:rsidP="00E02D6F">
            <w:pPr>
              <w:jc w:val="right"/>
              <w:rPr>
                <w:b/>
              </w:rPr>
            </w:pPr>
            <w:r w:rsidRPr="00871721">
              <w:rPr>
                <w:b/>
              </w:rPr>
              <w:t>2023</w:t>
            </w:r>
          </w:p>
        </w:tc>
        <w:tc>
          <w:tcPr>
            <w:tcW w:w="1975" w:type="dxa"/>
            <w:tcBorders>
              <w:top w:val="nil"/>
              <w:left w:val="nil"/>
              <w:bottom w:val="single" w:sz="4" w:space="0" w:color="666666"/>
              <w:right w:val="single" w:sz="4" w:space="0" w:color="000000"/>
            </w:tcBorders>
            <w:shd w:val="clear" w:color="auto" w:fill="CCCCCC"/>
          </w:tcPr>
          <w:p w:rsidR="00E627E7" w:rsidRPr="00871721" w:rsidRDefault="00E627E7" w:rsidP="00E02D6F">
            <w:pPr>
              <w:jc w:val="right"/>
              <w:rPr>
                <w:b/>
              </w:rPr>
            </w:pPr>
            <w:r w:rsidRPr="00871721">
              <w:rPr>
                <w:b/>
              </w:rPr>
              <w:t>2022</w:t>
            </w:r>
          </w:p>
        </w:tc>
      </w:tr>
      <w:tr w:rsidR="00E627E7" w:rsidRPr="00871721" w:rsidTr="00E02D6F">
        <w:trPr>
          <w:trHeight w:val="270"/>
        </w:trPr>
        <w:tc>
          <w:tcPr>
            <w:tcW w:w="6004" w:type="dxa"/>
            <w:tcBorders>
              <w:top w:val="nil"/>
              <w:left w:val="single" w:sz="4" w:space="0" w:color="000000"/>
              <w:bottom w:val="single" w:sz="4" w:space="0" w:color="666666"/>
              <w:right w:val="single" w:sz="4" w:space="0" w:color="666666"/>
            </w:tcBorders>
            <w:shd w:val="clear" w:color="auto" w:fill="auto"/>
          </w:tcPr>
          <w:p w:rsidR="00E627E7" w:rsidRPr="00871721" w:rsidRDefault="00E627E7" w:rsidP="00E02D6F"/>
        </w:tc>
        <w:tc>
          <w:tcPr>
            <w:tcW w:w="1519" w:type="dxa"/>
            <w:tcBorders>
              <w:top w:val="nil"/>
              <w:left w:val="nil"/>
              <w:bottom w:val="single" w:sz="4" w:space="0" w:color="666666"/>
              <w:right w:val="single" w:sz="4" w:space="0" w:color="666666"/>
            </w:tcBorders>
            <w:shd w:val="clear" w:color="auto" w:fill="auto"/>
          </w:tcPr>
          <w:p w:rsidR="00E627E7" w:rsidRPr="00871721" w:rsidRDefault="00E627E7" w:rsidP="00E02D6F"/>
        </w:tc>
        <w:tc>
          <w:tcPr>
            <w:tcW w:w="1975" w:type="dxa"/>
            <w:tcBorders>
              <w:top w:val="nil"/>
              <w:left w:val="nil"/>
              <w:bottom w:val="single" w:sz="4" w:space="0" w:color="666666"/>
              <w:right w:val="single" w:sz="4" w:space="0" w:color="000000"/>
            </w:tcBorders>
            <w:shd w:val="clear" w:color="auto" w:fill="auto"/>
          </w:tcPr>
          <w:p w:rsidR="00E627E7" w:rsidRPr="00871721" w:rsidRDefault="00E627E7" w:rsidP="00E02D6F"/>
        </w:tc>
      </w:tr>
      <w:tr w:rsidR="00E627E7" w:rsidRPr="00871721" w:rsidTr="00E02D6F">
        <w:trPr>
          <w:trHeight w:val="270"/>
        </w:trPr>
        <w:tc>
          <w:tcPr>
            <w:tcW w:w="6004" w:type="dxa"/>
            <w:tcBorders>
              <w:top w:val="nil"/>
              <w:left w:val="single" w:sz="4" w:space="0" w:color="000000"/>
              <w:bottom w:val="single" w:sz="4" w:space="0" w:color="666666"/>
              <w:right w:val="single" w:sz="4" w:space="0" w:color="666666"/>
            </w:tcBorders>
            <w:shd w:val="clear" w:color="auto" w:fill="CCCCCC"/>
          </w:tcPr>
          <w:p w:rsidR="00E627E7" w:rsidRPr="00871721" w:rsidRDefault="00E627E7" w:rsidP="00E02D6F">
            <w:pPr>
              <w:rPr>
                <w:b/>
              </w:rPr>
            </w:pPr>
            <w:r w:rsidRPr="00871721">
              <w:t>Utilidad Neta</w:t>
            </w:r>
          </w:p>
        </w:tc>
        <w:tc>
          <w:tcPr>
            <w:tcW w:w="1519" w:type="dxa"/>
            <w:tcBorders>
              <w:top w:val="nil"/>
              <w:left w:val="nil"/>
              <w:bottom w:val="single" w:sz="4" w:space="0" w:color="000000"/>
              <w:right w:val="single" w:sz="4" w:space="0" w:color="666666"/>
            </w:tcBorders>
            <w:shd w:val="clear" w:color="auto" w:fill="CCCCCC"/>
          </w:tcPr>
          <w:p w:rsidR="00E627E7" w:rsidRPr="00871721" w:rsidRDefault="00E627E7" w:rsidP="00E02D6F">
            <w:pPr>
              <w:jc w:val="right"/>
            </w:pPr>
            <w:r w:rsidRPr="00871721">
              <w:t>16,815,365</w:t>
            </w:r>
          </w:p>
        </w:tc>
        <w:tc>
          <w:tcPr>
            <w:tcW w:w="1975" w:type="dxa"/>
            <w:tcBorders>
              <w:top w:val="nil"/>
              <w:left w:val="nil"/>
              <w:bottom w:val="single" w:sz="4" w:space="0" w:color="666666"/>
              <w:right w:val="single" w:sz="4" w:space="0" w:color="666666"/>
            </w:tcBorders>
            <w:shd w:val="clear" w:color="auto" w:fill="CCCCCC"/>
          </w:tcPr>
          <w:p w:rsidR="00E627E7" w:rsidRPr="00871721" w:rsidRDefault="00E627E7" w:rsidP="00E02D6F">
            <w:pPr>
              <w:jc w:val="right"/>
            </w:pPr>
            <w:r w:rsidRPr="00871721">
              <w:t>23,621,437</w:t>
            </w:r>
          </w:p>
        </w:tc>
      </w:tr>
      <w:tr w:rsidR="00E627E7" w:rsidRPr="00871721" w:rsidTr="00E02D6F">
        <w:trPr>
          <w:trHeight w:val="270"/>
        </w:trPr>
        <w:tc>
          <w:tcPr>
            <w:tcW w:w="6004" w:type="dxa"/>
            <w:tcBorders>
              <w:top w:val="nil"/>
              <w:left w:val="single" w:sz="4" w:space="0" w:color="000000"/>
              <w:bottom w:val="single" w:sz="4" w:space="0" w:color="666666"/>
              <w:right w:val="single" w:sz="4" w:space="0" w:color="000000"/>
            </w:tcBorders>
            <w:shd w:val="clear" w:color="auto" w:fill="auto"/>
          </w:tcPr>
          <w:p w:rsidR="00E627E7" w:rsidRPr="00871721" w:rsidRDefault="00E627E7" w:rsidP="00E02D6F">
            <w:pPr>
              <w:rPr>
                <w:b/>
              </w:rPr>
            </w:pPr>
            <w:r w:rsidRPr="00871721">
              <w:t>Activo Total Promedio</w:t>
            </w:r>
          </w:p>
        </w:tc>
        <w:tc>
          <w:tcPr>
            <w:tcW w:w="1519" w:type="dxa"/>
            <w:tcBorders>
              <w:top w:val="single" w:sz="4" w:space="0" w:color="000000"/>
              <w:left w:val="single" w:sz="4" w:space="0" w:color="000000"/>
            </w:tcBorders>
            <w:tcMar>
              <w:top w:w="100" w:type="dxa"/>
              <w:left w:w="100" w:type="dxa"/>
              <w:bottom w:w="100" w:type="dxa"/>
              <w:right w:w="100" w:type="dxa"/>
            </w:tcMar>
          </w:tcPr>
          <w:p w:rsidR="00E627E7" w:rsidRPr="00871721" w:rsidRDefault="00E627E7" w:rsidP="00E02D6F">
            <w:pPr>
              <w:jc w:val="right"/>
            </w:pPr>
            <w:r w:rsidRPr="00871721">
              <w:t>115,761,168</w:t>
            </w:r>
          </w:p>
        </w:tc>
        <w:tc>
          <w:tcPr>
            <w:tcW w:w="1975" w:type="dxa"/>
            <w:tcBorders>
              <w:top w:val="nil"/>
              <w:bottom w:val="single" w:sz="4" w:space="0" w:color="666666"/>
              <w:right w:val="single" w:sz="4" w:space="0" w:color="666666"/>
            </w:tcBorders>
            <w:shd w:val="clear" w:color="auto" w:fill="auto"/>
          </w:tcPr>
          <w:p w:rsidR="00E627E7" w:rsidRPr="00871721" w:rsidRDefault="00E627E7" w:rsidP="00E02D6F">
            <w:pPr>
              <w:jc w:val="right"/>
            </w:pPr>
            <w:r w:rsidRPr="00871721">
              <w:t>108,178,931</w:t>
            </w:r>
          </w:p>
        </w:tc>
      </w:tr>
      <w:tr w:rsidR="00E627E7" w:rsidRPr="00871721" w:rsidTr="00E02D6F">
        <w:trPr>
          <w:trHeight w:val="270"/>
        </w:trPr>
        <w:tc>
          <w:tcPr>
            <w:tcW w:w="6004" w:type="dxa"/>
            <w:tcBorders>
              <w:top w:val="nil"/>
              <w:left w:val="single" w:sz="4" w:space="0" w:color="000000"/>
              <w:bottom w:val="single" w:sz="4" w:space="0" w:color="666666"/>
              <w:right w:val="single" w:sz="4" w:space="0" w:color="666666"/>
            </w:tcBorders>
            <w:shd w:val="clear" w:color="auto" w:fill="CCCCCC"/>
          </w:tcPr>
          <w:p w:rsidR="00E627E7" w:rsidRPr="00871721" w:rsidRDefault="00E627E7" w:rsidP="00E02D6F">
            <w:pPr>
              <w:rPr>
                <w:b/>
              </w:rPr>
            </w:pPr>
            <w:r w:rsidRPr="00871721">
              <w:t>Margen Neto S/Activos - (</w:t>
            </w:r>
            <w:proofErr w:type="spellStart"/>
            <w:r w:rsidRPr="00871721">
              <w:t>Utd</w:t>
            </w:r>
            <w:proofErr w:type="spellEnd"/>
            <w:r w:rsidRPr="00871721">
              <w:t xml:space="preserve">. Neta/Activo </w:t>
            </w:r>
            <w:proofErr w:type="spellStart"/>
            <w:r w:rsidRPr="00871721">
              <w:t>Prom</w:t>
            </w:r>
            <w:proofErr w:type="spellEnd"/>
            <w:r w:rsidRPr="00871721">
              <w:t xml:space="preserve">.) </w:t>
            </w:r>
          </w:p>
        </w:tc>
        <w:tc>
          <w:tcPr>
            <w:tcW w:w="1519" w:type="dxa"/>
            <w:tcBorders>
              <w:left w:val="nil"/>
              <w:bottom w:val="single" w:sz="4" w:space="0" w:color="666666"/>
              <w:right w:val="single" w:sz="4" w:space="0" w:color="666666"/>
            </w:tcBorders>
            <w:shd w:val="clear" w:color="auto" w:fill="CCCCCC"/>
          </w:tcPr>
          <w:p w:rsidR="00E627E7" w:rsidRPr="00871721" w:rsidRDefault="00E627E7" w:rsidP="00E02D6F">
            <w:pPr>
              <w:jc w:val="right"/>
            </w:pPr>
            <w:r w:rsidRPr="00871721">
              <w:t>14.53%</w:t>
            </w:r>
          </w:p>
        </w:tc>
        <w:tc>
          <w:tcPr>
            <w:tcW w:w="1975" w:type="dxa"/>
            <w:tcBorders>
              <w:top w:val="nil"/>
              <w:left w:val="nil"/>
              <w:bottom w:val="single" w:sz="4" w:space="0" w:color="666666"/>
              <w:right w:val="single" w:sz="4" w:space="0" w:color="666666"/>
            </w:tcBorders>
            <w:shd w:val="clear" w:color="auto" w:fill="CCCCCC"/>
          </w:tcPr>
          <w:p w:rsidR="00E627E7" w:rsidRPr="00871721" w:rsidRDefault="00E627E7" w:rsidP="00E02D6F">
            <w:pPr>
              <w:jc w:val="right"/>
            </w:pPr>
            <w:r w:rsidRPr="00871721">
              <w:t>21.8%</w:t>
            </w:r>
          </w:p>
        </w:tc>
      </w:tr>
      <w:tr w:rsidR="00E627E7" w:rsidRPr="00871721" w:rsidTr="00E02D6F">
        <w:trPr>
          <w:trHeight w:val="270"/>
        </w:trPr>
        <w:tc>
          <w:tcPr>
            <w:tcW w:w="6004" w:type="dxa"/>
            <w:tcBorders>
              <w:top w:val="nil"/>
              <w:left w:val="single" w:sz="4" w:space="0" w:color="000000"/>
              <w:bottom w:val="single" w:sz="4" w:space="0" w:color="666666"/>
              <w:right w:val="single" w:sz="4" w:space="0" w:color="666666"/>
            </w:tcBorders>
            <w:shd w:val="clear" w:color="auto" w:fill="auto"/>
          </w:tcPr>
          <w:p w:rsidR="00E627E7" w:rsidRPr="00871721" w:rsidRDefault="00E627E7" w:rsidP="00E02D6F"/>
        </w:tc>
        <w:tc>
          <w:tcPr>
            <w:tcW w:w="1519" w:type="dxa"/>
            <w:tcBorders>
              <w:top w:val="nil"/>
              <w:left w:val="nil"/>
              <w:bottom w:val="single" w:sz="4" w:space="0" w:color="666666"/>
              <w:right w:val="single" w:sz="4" w:space="0" w:color="666666"/>
            </w:tcBorders>
            <w:shd w:val="clear" w:color="auto" w:fill="auto"/>
          </w:tcPr>
          <w:p w:rsidR="00E627E7" w:rsidRPr="00871721" w:rsidRDefault="00E627E7" w:rsidP="00E02D6F">
            <w:pPr>
              <w:jc w:val="right"/>
            </w:pPr>
          </w:p>
        </w:tc>
        <w:tc>
          <w:tcPr>
            <w:tcW w:w="1975" w:type="dxa"/>
            <w:tcBorders>
              <w:top w:val="nil"/>
              <w:left w:val="nil"/>
              <w:bottom w:val="single" w:sz="4" w:space="0" w:color="666666"/>
              <w:right w:val="single" w:sz="4" w:space="0" w:color="666666"/>
            </w:tcBorders>
            <w:shd w:val="clear" w:color="auto" w:fill="auto"/>
          </w:tcPr>
          <w:p w:rsidR="00E627E7" w:rsidRPr="00871721" w:rsidRDefault="00E627E7" w:rsidP="00E02D6F">
            <w:pPr>
              <w:jc w:val="right"/>
            </w:pPr>
          </w:p>
        </w:tc>
      </w:tr>
      <w:tr w:rsidR="00E627E7" w:rsidRPr="00871721" w:rsidTr="00E02D6F">
        <w:trPr>
          <w:trHeight w:val="270"/>
        </w:trPr>
        <w:tc>
          <w:tcPr>
            <w:tcW w:w="6004" w:type="dxa"/>
            <w:tcBorders>
              <w:top w:val="nil"/>
              <w:left w:val="single" w:sz="4" w:space="0" w:color="000000"/>
              <w:bottom w:val="single" w:sz="4" w:space="0" w:color="666666"/>
              <w:right w:val="single" w:sz="4" w:space="0" w:color="666666"/>
            </w:tcBorders>
            <w:shd w:val="clear" w:color="auto" w:fill="CCCCCC"/>
          </w:tcPr>
          <w:p w:rsidR="00E627E7" w:rsidRPr="00871721" w:rsidRDefault="00E627E7" w:rsidP="00E02D6F">
            <w:pPr>
              <w:rPr>
                <w:b/>
              </w:rPr>
            </w:pPr>
            <w:r w:rsidRPr="00871721">
              <w:t>Utilidad Neta</w:t>
            </w:r>
          </w:p>
        </w:tc>
        <w:tc>
          <w:tcPr>
            <w:tcW w:w="1519" w:type="dxa"/>
            <w:tcBorders>
              <w:top w:val="nil"/>
              <w:left w:val="nil"/>
              <w:bottom w:val="single" w:sz="4" w:space="0" w:color="666666"/>
              <w:right w:val="single" w:sz="4" w:space="0" w:color="666666"/>
            </w:tcBorders>
            <w:shd w:val="clear" w:color="auto" w:fill="CCCCCC"/>
          </w:tcPr>
          <w:p w:rsidR="00E627E7" w:rsidRPr="00871721" w:rsidRDefault="00E627E7" w:rsidP="00E02D6F">
            <w:pPr>
              <w:jc w:val="right"/>
            </w:pPr>
            <w:r w:rsidRPr="00871721">
              <w:t>16,815,365</w:t>
            </w:r>
          </w:p>
        </w:tc>
        <w:tc>
          <w:tcPr>
            <w:tcW w:w="1975" w:type="dxa"/>
            <w:tcBorders>
              <w:top w:val="nil"/>
              <w:left w:val="nil"/>
              <w:bottom w:val="single" w:sz="4" w:space="0" w:color="666666"/>
              <w:right w:val="single" w:sz="4" w:space="0" w:color="666666"/>
            </w:tcBorders>
            <w:shd w:val="clear" w:color="auto" w:fill="CCCCCC"/>
          </w:tcPr>
          <w:p w:rsidR="00E627E7" w:rsidRPr="00871721" w:rsidRDefault="00E627E7" w:rsidP="00E02D6F">
            <w:pPr>
              <w:jc w:val="right"/>
            </w:pPr>
            <w:r w:rsidRPr="00871721">
              <w:t>23,621,437</w:t>
            </w:r>
          </w:p>
        </w:tc>
      </w:tr>
      <w:tr w:rsidR="00E627E7" w:rsidRPr="00871721" w:rsidTr="00E02D6F">
        <w:trPr>
          <w:trHeight w:val="270"/>
        </w:trPr>
        <w:tc>
          <w:tcPr>
            <w:tcW w:w="6004" w:type="dxa"/>
            <w:tcBorders>
              <w:top w:val="nil"/>
              <w:left w:val="single" w:sz="4" w:space="0" w:color="000000"/>
              <w:bottom w:val="single" w:sz="4" w:space="0" w:color="666666"/>
              <w:right w:val="single" w:sz="4" w:space="0" w:color="666666"/>
            </w:tcBorders>
            <w:shd w:val="clear" w:color="auto" w:fill="auto"/>
          </w:tcPr>
          <w:p w:rsidR="00E627E7" w:rsidRPr="00871721" w:rsidRDefault="00E627E7" w:rsidP="00E02D6F">
            <w:pPr>
              <w:rPr>
                <w:b/>
              </w:rPr>
            </w:pPr>
            <w:r w:rsidRPr="00871721">
              <w:t>Ventas Totales</w:t>
            </w:r>
          </w:p>
        </w:tc>
        <w:tc>
          <w:tcPr>
            <w:tcW w:w="1519" w:type="dxa"/>
            <w:tcBorders>
              <w:top w:val="nil"/>
              <w:left w:val="nil"/>
              <w:bottom w:val="single" w:sz="4" w:space="0" w:color="666666"/>
              <w:right w:val="single" w:sz="4" w:space="0" w:color="666666"/>
            </w:tcBorders>
            <w:shd w:val="clear" w:color="auto" w:fill="auto"/>
          </w:tcPr>
          <w:p w:rsidR="00E627E7" w:rsidRPr="00871721" w:rsidRDefault="00E627E7" w:rsidP="00E02D6F">
            <w:pPr>
              <w:jc w:val="right"/>
            </w:pPr>
            <w:r w:rsidRPr="00871721">
              <w:t>126,351,471</w:t>
            </w:r>
          </w:p>
        </w:tc>
        <w:tc>
          <w:tcPr>
            <w:tcW w:w="1975" w:type="dxa"/>
            <w:tcBorders>
              <w:top w:val="nil"/>
              <w:left w:val="nil"/>
              <w:bottom w:val="single" w:sz="4" w:space="0" w:color="666666"/>
              <w:right w:val="single" w:sz="4" w:space="0" w:color="666666"/>
            </w:tcBorders>
            <w:shd w:val="clear" w:color="auto" w:fill="auto"/>
          </w:tcPr>
          <w:p w:rsidR="00E627E7" w:rsidRPr="00871721" w:rsidRDefault="00E627E7" w:rsidP="00E02D6F">
            <w:pPr>
              <w:jc w:val="right"/>
            </w:pPr>
            <w:r w:rsidRPr="00871721">
              <w:t>124,954,337</w:t>
            </w:r>
          </w:p>
        </w:tc>
      </w:tr>
      <w:tr w:rsidR="00E627E7" w:rsidRPr="00871721" w:rsidTr="00E02D6F">
        <w:trPr>
          <w:trHeight w:val="270"/>
        </w:trPr>
        <w:tc>
          <w:tcPr>
            <w:tcW w:w="6004" w:type="dxa"/>
            <w:tcBorders>
              <w:top w:val="nil"/>
              <w:left w:val="single" w:sz="4" w:space="0" w:color="000000"/>
              <w:bottom w:val="single" w:sz="4" w:space="0" w:color="666666"/>
              <w:right w:val="single" w:sz="4" w:space="0" w:color="666666"/>
            </w:tcBorders>
            <w:shd w:val="clear" w:color="auto" w:fill="CCCCCC"/>
          </w:tcPr>
          <w:p w:rsidR="00E627E7" w:rsidRPr="00871721" w:rsidRDefault="00E627E7" w:rsidP="00E02D6F">
            <w:pPr>
              <w:rPr>
                <w:b/>
              </w:rPr>
            </w:pPr>
            <w:r w:rsidRPr="00871721">
              <w:t>Margen Utilidad Neta - (</w:t>
            </w:r>
            <w:proofErr w:type="spellStart"/>
            <w:r w:rsidRPr="00871721">
              <w:t>Utd</w:t>
            </w:r>
            <w:proofErr w:type="spellEnd"/>
            <w:r w:rsidRPr="00871721">
              <w:t>. Neta/</w:t>
            </w:r>
            <w:proofErr w:type="spellStart"/>
            <w:r w:rsidRPr="00871721">
              <w:t>Vtas</w:t>
            </w:r>
            <w:proofErr w:type="spellEnd"/>
            <w:r w:rsidRPr="00871721">
              <w:t>. Totales) -</w:t>
            </w:r>
          </w:p>
        </w:tc>
        <w:tc>
          <w:tcPr>
            <w:tcW w:w="1519" w:type="dxa"/>
            <w:tcBorders>
              <w:top w:val="nil"/>
              <w:left w:val="nil"/>
              <w:bottom w:val="single" w:sz="4" w:space="0" w:color="666666"/>
              <w:right w:val="single" w:sz="4" w:space="0" w:color="666666"/>
            </w:tcBorders>
            <w:shd w:val="clear" w:color="auto" w:fill="CCCCCC"/>
          </w:tcPr>
          <w:p w:rsidR="00E627E7" w:rsidRPr="00871721" w:rsidRDefault="00E627E7" w:rsidP="00E02D6F">
            <w:pPr>
              <w:jc w:val="right"/>
            </w:pPr>
            <w:r w:rsidRPr="00871721">
              <w:t>13.31%</w:t>
            </w:r>
          </w:p>
        </w:tc>
        <w:tc>
          <w:tcPr>
            <w:tcW w:w="1975" w:type="dxa"/>
            <w:tcBorders>
              <w:top w:val="nil"/>
              <w:left w:val="nil"/>
              <w:bottom w:val="single" w:sz="4" w:space="0" w:color="666666"/>
              <w:right w:val="single" w:sz="4" w:space="0" w:color="666666"/>
            </w:tcBorders>
            <w:shd w:val="clear" w:color="auto" w:fill="CCCCCC"/>
          </w:tcPr>
          <w:p w:rsidR="00E627E7" w:rsidRPr="00871721" w:rsidRDefault="00E627E7" w:rsidP="00E02D6F">
            <w:pPr>
              <w:jc w:val="right"/>
            </w:pPr>
            <w:r w:rsidRPr="00871721">
              <w:t>18.90%</w:t>
            </w:r>
          </w:p>
        </w:tc>
      </w:tr>
      <w:tr w:rsidR="00E627E7" w:rsidRPr="00871721" w:rsidTr="00E02D6F">
        <w:trPr>
          <w:trHeight w:val="270"/>
        </w:trPr>
        <w:tc>
          <w:tcPr>
            <w:tcW w:w="6004" w:type="dxa"/>
            <w:tcBorders>
              <w:top w:val="nil"/>
              <w:left w:val="single" w:sz="4" w:space="0" w:color="000000"/>
              <w:bottom w:val="single" w:sz="4" w:space="0" w:color="666666"/>
              <w:right w:val="single" w:sz="4" w:space="0" w:color="666666"/>
            </w:tcBorders>
            <w:shd w:val="clear" w:color="auto" w:fill="auto"/>
          </w:tcPr>
          <w:p w:rsidR="00E627E7" w:rsidRPr="00871721" w:rsidRDefault="00E627E7" w:rsidP="00E02D6F"/>
        </w:tc>
        <w:tc>
          <w:tcPr>
            <w:tcW w:w="1519" w:type="dxa"/>
            <w:tcBorders>
              <w:top w:val="nil"/>
              <w:left w:val="nil"/>
              <w:bottom w:val="single" w:sz="4" w:space="0" w:color="666666"/>
              <w:right w:val="single" w:sz="4" w:space="0" w:color="666666"/>
            </w:tcBorders>
            <w:shd w:val="clear" w:color="auto" w:fill="auto"/>
          </w:tcPr>
          <w:p w:rsidR="00E627E7" w:rsidRPr="00871721" w:rsidRDefault="00E627E7" w:rsidP="00E02D6F">
            <w:pPr>
              <w:jc w:val="right"/>
            </w:pPr>
          </w:p>
        </w:tc>
        <w:tc>
          <w:tcPr>
            <w:tcW w:w="1975" w:type="dxa"/>
            <w:tcBorders>
              <w:top w:val="nil"/>
              <w:left w:val="nil"/>
              <w:bottom w:val="single" w:sz="4" w:space="0" w:color="666666"/>
              <w:right w:val="single" w:sz="4" w:space="0" w:color="666666"/>
            </w:tcBorders>
            <w:shd w:val="clear" w:color="auto" w:fill="auto"/>
          </w:tcPr>
          <w:p w:rsidR="00E627E7" w:rsidRPr="00871721" w:rsidRDefault="00E627E7" w:rsidP="00E02D6F">
            <w:pPr>
              <w:jc w:val="right"/>
            </w:pPr>
          </w:p>
        </w:tc>
      </w:tr>
      <w:tr w:rsidR="00E627E7" w:rsidRPr="00871721" w:rsidTr="00E02D6F">
        <w:trPr>
          <w:trHeight w:val="270"/>
        </w:trPr>
        <w:tc>
          <w:tcPr>
            <w:tcW w:w="6004" w:type="dxa"/>
            <w:tcBorders>
              <w:top w:val="nil"/>
              <w:left w:val="single" w:sz="4" w:space="0" w:color="000000"/>
              <w:bottom w:val="single" w:sz="4" w:space="0" w:color="666666"/>
              <w:right w:val="single" w:sz="4" w:space="0" w:color="666666"/>
            </w:tcBorders>
            <w:shd w:val="clear" w:color="auto" w:fill="CCCCCC"/>
          </w:tcPr>
          <w:p w:rsidR="00E627E7" w:rsidRPr="00871721" w:rsidRDefault="00E627E7" w:rsidP="00E02D6F">
            <w:pPr>
              <w:rPr>
                <w:b/>
              </w:rPr>
            </w:pPr>
            <w:r w:rsidRPr="00871721">
              <w:t>Utilidad Neta</w:t>
            </w:r>
          </w:p>
        </w:tc>
        <w:tc>
          <w:tcPr>
            <w:tcW w:w="1519" w:type="dxa"/>
            <w:tcBorders>
              <w:top w:val="nil"/>
              <w:left w:val="nil"/>
              <w:bottom w:val="single" w:sz="4" w:space="0" w:color="000000"/>
              <w:right w:val="single" w:sz="4" w:space="0" w:color="666666"/>
            </w:tcBorders>
            <w:shd w:val="clear" w:color="auto" w:fill="CCCCCC"/>
          </w:tcPr>
          <w:p w:rsidR="00E627E7" w:rsidRPr="00871721" w:rsidRDefault="00E627E7" w:rsidP="00E02D6F">
            <w:pPr>
              <w:jc w:val="right"/>
            </w:pPr>
            <w:r w:rsidRPr="00871721">
              <w:t>16,815,365</w:t>
            </w:r>
          </w:p>
        </w:tc>
        <w:tc>
          <w:tcPr>
            <w:tcW w:w="1975" w:type="dxa"/>
            <w:tcBorders>
              <w:top w:val="nil"/>
              <w:left w:val="nil"/>
              <w:bottom w:val="single" w:sz="4" w:space="0" w:color="000000"/>
              <w:right w:val="single" w:sz="4" w:space="0" w:color="666666"/>
            </w:tcBorders>
            <w:shd w:val="clear" w:color="auto" w:fill="CCCCCC"/>
          </w:tcPr>
          <w:p w:rsidR="00E627E7" w:rsidRPr="00871721" w:rsidRDefault="00E627E7" w:rsidP="00E02D6F">
            <w:pPr>
              <w:jc w:val="right"/>
            </w:pPr>
            <w:r w:rsidRPr="00871721">
              <w:t>23,621,437</w:t>
            </w:r>
          </w:p>
        </w:tc>
      </w:tr>
      <w:tr w:rsidR="00E627E7" w:rsidRPr="00871721" w:rsidTr="00E02D6F">
        <w:trPr>
          <w:trHeight w:val="270"/>
        </w:trPr>
        <w:tc>
          <w:tcPr>
            <w:tcW w:w="6004" w:type="dxa"/>
            <w:tcBorders>
              <w:top w:val="nil"/>
              <w:left w:val="single" w:sz="4" w:space="0" w:color="000000"/>
              <w:bottom w:val="single" w:sz="4" w:space="0" w:color="666666"/>
              <w:right w:val="single" w:sz="4" w:space="0" w:color="000000"/>
            </w:tcBorders>
            <w:shd w:val="clear" w:color="auto" w:fill="auto"/>
          </w:tcPr>
          <w:p w:rsidR="00E627E7" w:rsidRPr="00871721" w:rsidRDefault="00E627E7" w:rsidP="00E02D6F">
            <w:pPr>
              <w:rPr>
                <w:b/>
              </w:rPr>
            </w:pPr>
            <w:r w:rsidRPr="00871721">
              <w:t>Patrimonio Total Promedio</w:t>
            </w:r>
          </w:p>
        </w:tc>
        <w:tc>
          <w:tcPr>
            <w:tcW w:w="1519" w:type="dxa"/>
            <w:tcBorders>
              <w:top w:val="single" w:sz="4" w:space="0" w:color="000000"/>
              <w:left w:val="single" w:sz="4" w:space="0" w:color="000000"/>
            </w:tcBorders>
            <w:tcMar>
              <w:top w:w="100" w:type="dxa"/>
              <w:left w:w="100" w:type="dxa"/>
              <w:bottom w:w="100" w:type="dxa"/>
              <w:right w:w="100" w:type="dxa"/>
            </w:tcMar>
          </w:tcPr>
          <w:p w:rsidR="00E627E7" w:rsidRPr="00871721" w:rsidRDefault="00E627E7" w:rsidP="00E02D6F">
            <w:pPr>
              <w:jc w:val="right"/>
            </w:pPr>
            <w:r w:rsidRPr="00871721">
              <w:t>79,953,530</w:t>
            </w:r>
          </w:p>
        </w:tc>
        <w:tc>
          <w:tcPr>
            <w:tcW w:w="1975" w:type="dxa"/>
            <w:tcBorders>
              <w:top w:val="single" w:sz="4" w:space="0" w:color="000000"/>
              <w:bottom w:val="single" w:sz="4" w:space="0" w:color="000000"/>
              <w:right w:val="single" w:sz="4" w:space="0" w:color="000000"/>
            </w:tcBorders>
            <w:shd w:val="clear" w:color="auto" w:fill="auto"/>
          </w:tcPr>
          <w:p w:rsidR="00E627E7" w:rsidRPr="00871721" w:rsidRDefault="00E627E7" w:rsidP="00E02D6F">
            <w:pPr>
              <w:jc w:val="right"/>
            </w:pPr>
            <w:r w:rsidRPr="00871721">
              <w:t>71,695,410</w:t>
            </w:r>
          </w:p>
        </w:tc>
      </w:tr>
      <w:tr w:rsidR="00E627E7" w:rsidRPr="00871721" w:rsidTr="00E02D6F">
        <w:trPr>
          <w:trHeight w:val="270"/>
        </w:trPr>
        <w:tc>
          <w:tcPr>
            <w:tcW w:w="6004" w:type="dxa"/>
            <w:tcBorders>
              <w:top w:val="nil"/>
              <w:left w:val="single" w:sz="4" w:space="0" w:color="000000"/>
              <w:bottom w:val="single" w:sz="4" w:space="0" w:color="666666"/>
              <w:right w:val="single" w:sz="4" w:space="0" w:color="000000"/>
            </w:tcBorders>
            <w:shd w:val="clear" w:color="auto" w:fill="CCCCCC"/>
          </w:tcPr>
          <w:p w:rsidR="00E627E7" w:rsidRPr="00871721" w:rsidRDefault="00E627E7" w:rsidP="00E02D6F">
            <w:pPr>
              <w:rPr>
                <w:b/>
              </w:rPr>
            </w:pPr>
            <w:r w:rsidRPr="00871721">
              <w:t>Retorno s/ Patrimonio - (</w:t>
            </w:r>
            <w:proofErr w:type="spellStart"/>
            <w:r w:rsidRPr="00871721">
              <w:t>Utd</w:t>
            </w:r>
            <w:proofErr w:type="spellEnd"/>
            <w:r w:rsidRPr="00871721">
              <w:t xml:space="preserve">. Neta/Patrimonio </w:t>
            </w:r>
            <w:proofErr w:type="spellStart"/>
            <w:r w:rsidRPr="00871721">
              <w:t>Prom</w:t>
            </w:r>
            <w:proofErr w:type="spellEnd"/>
            <w:r w:rsidRPr="00871721">
              <w:t>.) -</w:t>
            </w:r>
          </w:p>
        </w:tc>
        <w:tc>
          <w:tcPr>
            <w:tcW w:w="1519" w:type="dxa"/>
            <w:tcBorders>
              <w:left w:val="single" w:sz="4" w:space="0" w:color="000000"/>
              <w:bottom w:val="single" w:sz="4" w:space="0" w:color="000000"/>
              <w:right w:val="single" w:sz="4" w:space="0" w:color="000000"/>
            </w:tcBorders>
            <w:shd w:val="clear" w:color="auto" w:fill="CCCCCC"/>
          </w:tcPr>
          <w:p w:rsidR="00E627E7" w:rsidRPr="00871721" w:rsidRDefault="00E627E7" w:rsidP="00E02D6F">
            <w:pPr>
              <w:jc w:val="right"/>
            </w:pPr>
            <w:r w:rsidRPr="00871721">
              <w:t>21.03%</w:t>
            </w:r>
          </w:p>
        </w:tc>
        <w:tc>
          <w:tcPr>
            <w:tcW w:w="1975" w:type="dxa"/>
            <w:tcBorders>
              <w:top w:val="single" w:sz="4" w:space="0" w:color="000000"/>
              <w:left w:val="single" w:sz="4" w:space="0" w:color="000000"/>
              <w:bottom w:val="single" w:sz="4" w:space="0" w:color="666666"/>
              <w:right w:val="single" w:sz="4" w:space="0" w:color="666666"/>
            </w:tcBorders>
            <w:shd w:val="clear" w:color="auto" w:fill="CCCCCC"/>
          </w:tcPr>
          <w:p w:rsidR="00E627E7" w:rsidRPr="00871721" w:rsidRDefault="00E627E7" w:rsidP="00E02D6F">
            <w:pPr>
              <w:jc w:val="right"/>
            </w:pPr>
            <w:r w:rsidRPr="00871721">
              <w:t>32.94%</w:t>
            </w:r>
          </w:p>
        </w:tc>
      </w:tr>
      <w:tr w:rsidR="00E627E7" w:rsidRPr="00871721" w:rsidTr="00E02D6F">
        <w:trPr>
          <w:trHeight w:val="270"/>
        </w:trPr>
        <w:tc>
          <w:tcPr>
            <w:tcW w:w="6004" w:type="dxa"/>
            <w:tcBorders>
              <w:top w:val="nil"/>
              <w:left w:val="single" w:sz="4" w:space="0" w:color="000000"/>
              <w:bottom w:val="single" w:sz="4" w:space="0" w:color="666666"/>
              <w:right w:val="single" w:sz="4" w:space="0" w:color="666666"/>
            </w:tcBorders>
            <w:shd w:val="clear" w:color="auto" w:fill="auto"/>
          </w:tcPr>
          <w:p w:rsidR="00E627E7" w:rsidRPr="00871721" w:rsidRDefault="00E627E7" w:rsidP="00E02D6F"/>
        </w:tc>
        <w:tc>
          <w:tcPr>
            <w:tcW w:w="1519" w:type="dxa"/>
            <w:tcBorders>
              <w:top w:val="single" w:sz="4" w:space="0" w:color="000000"/>
              <w:left w:val="nil"/>
              <w:bottom w:val="single" w:sz="4" w:space="0" w:color="666666"/>
              <w:right w:val="single" w:sz="4" w:space="0" w:color="666666"/>
            </w:tcBorders>
            <w:shd w:val="clear" w:color="auto" w:fill="auto"/>
          </w:tcPr>
          <w:p w:rsidR="00E627E7" w:rsidRPr="00871721" w:rsidRDefault="00E627E7" w:rsidP="00E02D6F">
            <w:pPr>
              <w:jc w:val="right"/>
            </w:pPr>
          </w:p>
        </w:tc>
        <w:tc>
          <w:tcPr>
            <w:tcW w:w="1975" w:type="dxa"/>
            <w:tcBorders>
              <w:top w:val="nil"/>
              <w:left w:val="nil"/>
              <w:bottom w:val="single" w:sz="4" w:space="0" w:color="666666"/>
              <w:right w:val="single" w:sz="4" w:space="0" w:color="666666"/>
            </w:tcBorders>
            <w:shd w:val="clear" w:color="auto" w:fill="auto"/>
          </w:tcPr>
          <w:p w:rsidR="00E627E7" w:rsidRPr="00871721" w:rsidRDefault="00E627E7" w:rsidP="00E02D6F">
            <w:pPr>
              <w:jc w:val="right"/>
            </w:pPr>
          </w:p>
        </w:tc>
      </w:tr>
      <w:tr w:rsidR="00E627E7" w:rsidRPr="00871721" w:rsidTr="00E02D6F">
        <w:trPr>
          <w:trHeight w:val="270"/>
        </w:trPr>
        <w:tc>
          <w:tcPr>
            <w:tcW w:w="6004" w:type="dxa"/>
            <w:tcBorders>
              <w:top w:val="nil"/>
              <w:left w:val="single" w:sz="4" w:space="0" w:color="000000"/>
              <w:bottom w:val="single" w:sz="4" w:space="0" w:color="666666"/>
              <w:right w:val="single" w:sz="4" w:space="0" w:color="666666"/>
            </w:tcBorders>
            <w:shd w:val="clear" w:color="auto" w:fill="CCCCCC"/>
          </w:tcPr>
          <w:p w:rsidR="00E627E7" w:rsidRPr="00871721" w:rsidRDefault="00E627E7" w:rsidP="00E02D6F">
            <w:pPr>
              <w:rPr>
                <w:b/>
              </w:rPr>
            </w:pPr>
            <w:r w:rsidRPr="00871721">
              <w:t>Utilidad Neta atribuible a accionistas de la entidad controladora</w:t>
            </w:r>
          </w:p>
        </w:tc>
        <w:tc>
          <w:tcPr>
            <w:tcW w:w="1519" w:type="dxa"/>
            <w:tcBorders>
              <w:top w:val="nil"/>
              <w:left w:val="nil"/>
              <w:bottom w:val="single" w:sz="4" w:space="0" w:color="666666"/>
              <w:right w:val="single" w:sz="4" w:space="0" w:color="666666"/>
            </w:tcBorders>
            <w:shd w:val="clear" w:color="auto" w:fill="CCCCCC"/>
          </w:tcPr>
          <w:p w:rsidR="00E627E7" w:rsidRPr="00871721" w:rsidRDefault="00E627E7" w:rsidP="00E02D6F">
            <w:pPr>
              <w:jc w:val="right"/>
            </w:pPr>
            <w:r w:rsidRPr="00871721">
              <w:t>15,322,029</w:t>
            </w:r>
          </w:p>
        </w:tc>
        <w:tc>
          <w:tcPr>
            <w:tcW w:w="1975" w:type="dxa"/>
            <w:tcBorders>
              <w:top w:val="nil"/>
              <w:left w:val="nil"/>
              <w:bottom w:val="single" w:sz="4" w:space="0" w:color="666666"/>
              <w:right w:val="single" w:sz="4" w:space="0" w:color="666666"/>
            </w:tcBorders>
            <w:shd w:val="clear" w:color="auto" w:fill="CCCCCC"/>
          </w:tcPr>
          <w:p w:rsidR="00E627E7" w:rsidRPr="00871721" w:rsidRDefault="00E627E7" w:rsidP="00E02D6F">
            <w:pPr>
              <w:jc w:val="right"/>
            </w:pPr>
            <w:r w:rsidRPr="00871721">
              <w:t>21,860,376</w:t>
            </w:r>
          </w:p>
        </w:tc>
      </w:tr>
      <w:tr w:rsidR="00E627E7" w:rsidRPr="00871721" w:rsidTr="00E02D6F">
        <w:trPr>
          <w:trHeight w:val="270"/>
        </w:trPr>
        <w:tc>
          <w:tcPr>
            <w:tcW w:w="6004" w:type="dxa"/>
            <w:tcBorders>
              <w:top w:val="nil"/>
              <w:left w:val="single" w:sz="4" w:space="0" w:color="000000"/>
              <w:bottom w:val="single" w:sz="4" w:space="0" w:color="666666"/>
              <w:right w:val="single" w:sz="4" w:space="0" w:color="666666"/>
            </w:tcBorders>
            <w:shd w:val="clear" w:color="auto" w:fill="auto"/>
          </w:tcPr>
          <w:p w:rsidR="00E627E7" w:rsidRPr="00871721" w:rsidRDefault="00E627E7" w:rsidP="00E02D6F">
            <w:pPr>
              <w:rPr>
                <w:b/>
              </w:rPr>
            </w:pPr>
            <w:r w:rsidRPr="00871721">
              <w:t>Total Acciones Comunes</w:t>
            </w:r>
          </w:p>
        </w:tc>
        <w:tc>
          <w:tcPr>
            <w:tcW w:w="1519" w:type="dxa"/>
            <w:tcBorders>
              <w:top w:val="nil"/>
              <w:left w:val="nil"/>
              <w:bottom w:val="single" w:sz="4" w:space="0" w:color="666666"/>
              <w:right w:val="single" w:sz="4" w:space="0" w:color="666666"/>
            </w:tcBorders>
            <w:shd w:val="clear" w:color="auto" w:fill="auto"/>
          </w:tcPr>
          <w:p w:rsidR="00E627E7" w:rsidRPr="00871721" w:rsidRDefault="00E627E7" w:rsidP="00E02D6F">
            <w:pPr>
              <w:jc w:val="right"/>
            </w:pPr>
            <w:r w:rsidRPr="00871721">
              <w:t>8,577,371</w:t>
            </w:r>
          </w:p>
        </w:tc>
        <w:tc>
          <w:tcPr>
            <w:tcW w:w="1975" w:type="dxa"/>
            <w:tcBorders>
              <w:top w:val="nil"/>
              <w:left w:val="nil"/>
              <w:bottom w:val="single" w:sz="4" w:space="0" w:color="666666"/>
              <w:right w:val="single" w:sz="4" w:space="0" w:color="666666"/>
            </w:tcBorders>
            <w:shd w:val="clear" w:color="auto" w:fill="auto"/>
          </w:tcPr>
          <w:p w:rsidR="00E627E7" w:rsidRPr="00871721" w:rsidRDefault="00E627E7" w:rsidP="00E02D6F">
            <w:pPr>
              <w:jc w:val="right"/>
            </w:pPr>
            <w:r w:rsidRPr="00871721">
              <w:t>8,577,371</w:t>
            </w:r>
          </w:p>
        </w:tc>
      </w:tr>
      <w:tr w:rsidR="00E627E7" w:rsidRPr="00871721" w:rsidTr="00E02D6F">
        <w:trPr>
          <w:trHeight w:val="270"/>
        </w:trPr>
        <w:tc>
          <w:tcPr>
            <w:tcW w:w="6004" w:type="dxa"/>
            <w:tcBorders>
              <w:top w:val="nil"/>
              <w:left w:val="single" w:sz="4" w:space="0" w:color="000000"/>
              <w:bottom w:val="single" w:sz="4" w:space="0" w:color="666666"/>
              <w:right w:val="single" w:sz="4" w:space="0" w:color="666666"/>
            </w:tcBorders>
            <w:shd w:val="clear" w:color="auto" w:fill="CCCCCC"/>
          </w:tcPr>
          <w:p w:rsidR="00E627E7" w:rsidRPr="00871721" w:rsidRDefault="00E627E7" w:rsidP="00E02D6F">
            <w:pPr>
              <w:rPr>
                <w:b/>
              </w:rPr>
            </w:pPr>
            <w:r w:rsidRPr="00871721">
              <w:t>Utilidad por Acción - (</w:t>
            </w:r>
            <w:proofErr w:type="spellStart"/>
            <w:r w:rsidRPr="00871721">
              <w:t>Utd</w:t>
            </w:r>
            <w:proofErr w:type="spellEnd"/>
            <w:r w:rsidRPr="00871721">
              <w:t>. Neta/Total Acciones) -</w:t>
            </w:r>
          </w:p>
        </w:tc>
        <w:tc>
          <w:tcPr>
            <w:tcW w:w="1519" w:type="dxa"/>
            <w:tcBorders>
              <w:top w:val="nil"/>
              <w:left w:val="nil"/>
              <w:bottom w:val="single" w:sz="4" w:space="0" w:color="666666"/>
              <w:right w:val="single" w:sz="4" w:space="0" w:color="666666"/>
            </w:tcBorders>
            <w:shd w:val="clear" w:color="auto" w:fill="CCCCCC"/>
          </w:tcPr>
          <w:p w:rsidR="00E627E7" w:rsidRPr="00871721" w:rsidRDefault="00E627E7" w:rsidP="00E02D6F">
            <w:pPr>
              <w:jc w:val="right"/>
            </w:pPr>
            <w:r w:rsidRPr="00871721">
              <w:t>1.79</w:t>
            </w:r>
          </w:p>
        </w:tc>
        <w:tc>
          <w:tcPr>
            <w:tcW w:w="1975" w:type="dxa"/>
            <w:tcBorders>
              <w:top w:val="nil"/>
              <w:left w:val="nil"/>
              <w:bottom w:val="single" w:sz="4" w:space="0" w:color="666666"/>
              <w:right w:val="single" w:sz="4" w:space="0" w:color="666666"/>
            </w:tcBorders>
            <w:shd w:val="clear" w:color="auto" w:fill="CCCCCC"/>
          </w:tcPr>
          <w:p w:rsidR="00E627E7" w:rsidRPr="00871721" w:rsidRDefault="00E627E7" w:rsidP="00E02D6F">
            <w:pPr>
              <w:jc w:val="right"/>
            </w:pPr>
            <w:r w:rsidRPr="00871721">
              <w:t>2.55</w:t>
            </w:r>
          </w:p>
        </w:tc>
      </w:tr>
    </w:tbl>
    <w:p w:rsidR="00E627E7" w:rsidRPr="00871721" w:rsidRDefault="00E627E7" w:rsidP="00E627E7"/>
    <w:p w:rsidR="00E627E7" w:rsidRPr="00871721" w:rsidRDefault="00E627E7" w:rsidP="00E627E7">
      <w:pPr>
        <w:jc w:val="both"/>
      </w:pPr>
      <w:r w:rsidRPr="00871721">
        <w:rPr>
          <w:b/>
        </w:rPr>
        <w:t>Margen neto sobre activos:</w:t>
      </w:r>
      <w:r w:rsidRPr="00871721">
        <w:t xml:space="preserve"> corresponde a tomar la utilidad neta después de impuestos y dividirla entre el activo total promedio (de los activos totales del año 2023 y 2022).  El resultado indica el monto de las ganancias que la empresa puede generar por cada colón invertido.</w:t>
      </w:r>
    </w:p>
    <w:p w:rsidR="00E627E7" w:rsidRPr="00871721" w:rsidRDefault="00E627E7" w:rsidP="00E627E7">
      <w:pPr>
        <w:jc w:val="both"/>
      </w:pPr>
    </w:p>
    <w:p w:rsidR="00E627E7" w:rsidRPr="00871721" w:rsidRDefault="00E627E7" w:rsidP="00E627E7">
      <w:pPr>
        <w:jc w:val="both"/>
      </w:pPr>
      <w:r w:rsidRPr="00871721">
        <w:t>En el último año se aumentó la base de activos neta por las inversiones productivas realizadas; el margen neto de sobre activos se vio afectado a su vez por la disminución de la utilidad neta por la mayor dinámica competitiva y los incrementos en los costos y gastos de los principales insumos.</w:t>
      </w:r>
    </w:p>
    <w:p w:rsidR="00E627E7" w:rsidRPr="00871721" w:rsidRDefault="00E627E7" w:rsidP="00E627E7">
      <w:pPr>
        <w:jc w:val="both"/>
      </w:pPr>
      <w:r w:rsidRPr="00871721">
        <w:t xml:space="preserve"> </w:t>
      </w:r>
    </w:p>
    <w:p w:rsidR="00E627E7" w:rsidRPr="00871721" w:rsidRDefault="00E627E7" w:rsidP="00E627E7">
      <w:pPr>
        <w:jc w:val="both"/>
      </w:pPr>
      <w:r w:rsidRPr="00871721">
        <w:rPr>
          <w:b/>
        </w:rPr>
        <w:t>Margen utilidad neta:</w:t>
      </w:r>
      <w:r w:rsidRPr="00871721">
        <w:t xml:space="preserve"> para su cálculo se toma la utilidad neta y se divide entre las ventas netas totales.  Se define como la capacidad que tiene la Compañía de traducir como ganancia una porción de cada colón vendido.</w:t>
      </w:r>
    </w:p>
    <w:p w:rsidR="00E627E7" w:rsidRPr="00871721" w:rsidRDefault="00E627E7" w:rsidP="00E627E7">
      <w:pPr>
        <w:jc w:val="both"/>
      </w:pPr>
    </w:p>
    <w:p w:rsidR="00E627E7" w:rsidRPr="00871721" w:rsidRDefault="00E627E7" w:rsidP="00E627E7">
      <w:pPr>
        <w:jc w:val="both"/>
      </w:pPr>
      <w:r w:rsidRPr="00871721">
        <w:t>En Costa Rica, la industria del cemento se mantuvo contraída, con impactos en volúmenes de venta y competencia en precios, además de incremento en precio de insumos; sin embargo, un control estricto de los costos y mejoras operativas permitieron mitigar parcialmente dichos impactos. Por otra parte, la diversificación en nuevos negocios como prefabricados y concretos, con un margen de utilidad menor reducen el margen neto consolidado de 18.9% en 2022 a 13.3% en 2023.</w:t>
      </w:r>
    </w:p>
    <w:p w:rsidR="00E627E7" w:rsidRPr="00871721" w:rsidRDefault="00E627E7" w:rsidP="00E627E7">
      <w:pPr>
        <w:jc w:val="both"/>
      </w:pPr>
    </w:p>
    <w:p w:rsidR="00E627E7" w:rsidRPr="00871721" w:rsidRDefault="00E627E7" w:rsidP="00E627E7">
      <w:pPr>
        <w:jc w:val="both"/>
      </w:pPr>
      <w:r w:rsidRPr="00871721">
        <w:rPr>
          <w:b/>
        </w:rPr>
        <w:t>Retorno sobre patrimonio:</w:t>
      </w:r>
      <w:r w:rsidRPr="00871721">
        <w:t xml:space="preserve"> el cálculo de esta razón corresponde a tomar la utilidad neta y dividirla entre el patrimonio promedio.  Se interpreta como el índice de retorno sobre el patrimonio de los accionistas.</w:t>
      </w:r>
    </w:p>
    <w:p w:rsidR="00E627E7" w:rsidRPr="00871721" w:rsidRDefault="00E627E7" w:rsidP="00E627E7">
      <w:pPr>
        <w:jc w:val="both"/>
      </w:pPr>
    </w:p>
    <w:p w:rsidR="00E627E7" w:rsidRPr="00871721" w:rsidRDefault="00E627E7" w:rsidP="00E627E7">
      <w:pPr>
        <w:jc w:val="both"/>
      </w:pPr>
      <w:r w:rsidRPr="00871721">
        <w:t>Los impactos del aumento en los principales insumos y la curva de estabilización de las adquisiciones, inciden también en el retorno sobre patrimonio, el mismo descendió 11.9 p.p. sobre el año anterior.</w:t>
      </w:r>
    </w:p>
    <w:p w:rsidR="00E627E7" w:rsidRPr="00871721" w:rsidRDefault="00E627E7" w:rsidP="00E627E7">
      <w:pPr>
        <w:jc w:val="both"/>
      </w:pPr>
    </w:p>
    <w:p w:rsidR="00E627E7" w:rsidRPr="00871721" w:rsidRDefault="00E627E7" w:rsidP="00E627E7">
      <w:pPr>
        <w:jc w:val="both"/>
      </w:pPr>
      <w:r w:rsidRPr="00871721">
        <w:rPr>
          <w:b/>
        </w:rPr>
        <w:t>Utilidad por acción:</w:t>
      </w:r>
      <w:r w:rsidRPr="00871721">
        <w:t xml:space="preserve"> el cálculo de esta razón corresponde a dividir las utilidades atribuibles a accionistas entre las acciones comunes en circulación.  El resultado muestra la utilidad en colones por acción común nominativa.</w:t>
      </w:r>
    </w:p>
    <w:p w:rsidR="00E627E7" w:rsidRPr="00871721" w:rsidRDefault="00E627E7" w:rsidP="00E627E7">
      <w:pPr>
        <w:jc w:val="both"/>
      </w:pPr>
    </w:p>
    <w:p w:rsidR="00E627E7" w:rsidRPr="00871721" w:rsidRDefault="00E627E7" w:rsidP="00E627E7">
      <w:pPr>
        <w:jc w:val="both"/>
      </w:pPr>
      <w:r w:rsidRPr="00871721">
        <w:t>Con el mismo nivel de capital accionario, la compañía logró alcanzar una utilidad por acción de 1.79 lo que acompañado de la generación de caja permitió a la compañía mantenerse únicamente con endeudamiento financiero relacionado con leasing de equipos.</w:t>
      </w:r>
    </w:p>
    <w:p w:rsidR="00E627E7" w:rsidRPr="00871721" w:rsidRDefault="00E627E7" w:rsidP="00E627E7">
      <w:pPr>
        <w:jc w:val="both"/>
      </w:pPr>
      <w:r w:rsidRPr="00871721">
        <w:t xml:space="preserve"> </w:t>
      </w:r>
    </w:p>
    <w:p w:rsidR="00E627E7" w:rsidRPr="00871721" w:rsidRDefault="00E627E7" w:rsidP="00E627E7"/>
    <w:tbl>
      <w:tblPr>
        <w:tblW w:w="9498" w:type="dxa"/>
        <w:tblInd w:w="-5" w:type="dxa"/>
        <w:tblLayout w:type="fixed"/>
        <w:tblLook w:val="0400" w:firstRow="0" w:lastRow="0" w:firstColumn="0" w:lastColumn="0" w:noHBand="0" w:noVBand="1"/>
      </w:tblPr>
      <w:tblGrid>
        <w:gridCol w:w="6004"/>
        <w:gridCol w:w="1519"/>
        <w:gridCol w:w="1975"/>
      </w:tblGrid>
      <w:tr w:rsidR="00E627E7" w:rsidRPr="00871721" w:rsidTr="00E02D6F">
        <w:trPr>
          <w:trHeight w:val="315"/>
        </w:trPr>
        <w:tc>
          <w:tcPr>
            <w:tcW w:w="6004" w:type="dxa"/>
            <w:tcBorders>
              <w:top w:val="nil"/>
              <w:left w:val="single" w:sz="4" w:space="0" w:color="000000"/>
              <w:bottom w:val="single" w:sz="12" w:space="0" w:color="666666"/>
              <w:right w:val="nil"/>
            </w:tcBorders>
            <w:shd w:val="clear" w:color="auto" w:fill="FFFFFF"/>
          </w:tcPr>
          <w:p w:rsidR="00E627E7" w:rsidRPr="00871721" w:rsidRDefault="00E627E7" w:rsidP="00E02D6F">
            <w:pPr>
              <w:rPr>
                <w:b/>
              </w:rPr>
            </w:pPr>
            <w:r w:rsidRPr="00871721">
              <w:t>ÍNDICES DE ACTIVIDAD</w:t>
            </w:r>
          </w:p>
        </w:tc>
        <w:tc>
          <w:tcPr>
            <w:tcW w:w="1519" w:type="dxa"/>
            <w:tcBorders>
              <w:top w:val="nil"/>
              <w:left w:val="nil"/>
              <w:bottom w:val="single" w:sz="12" w:space="0" w:color="666666"/>
              <w:right w:val="nil"/>
            </w:tcBorders>
            <w:shd w:val="clear" w:color="auto" w:fill="FFFFFF"/>
          </w:tcPr>
          <w:p w:rsidR="00E627E7" w:rsidRPr="00871721" w:rsidRDefault="00E627E7" w:rsidP="00E02D6F"/>
        </w:tc>
        <w:tc>
          <w:tcPr>
            <w:tcW w:w="1975" w:type="dxa"/>
            <w:tcBorders>
              <w:top w:val="nil"/>
              <w:left w:val="nil"/>
              <w:bottom w:val="single" w:sz="12" w:space="0" w:color="666666"/>
              <w:right w:val="single" w:sz="4" w:space="0" w:color="000000"/>
            </w:tcBorders>
            <w:shd w:val="clear" w:color="auto" w:fill="FFFFFF"/>
          </w:tcPr>
          <w:p w:rsidR="00E627E7" w:rsidRPr="00871721" w:rsidRDefault="00E627E7" w:rsidP="00E02D6F"/>
        </w:tc>
      </w:tr>
      <w:tr w:rsidR="00E627E7" w:rsidRPr="00871721" w:rsidTr="00E02D6F">
        <w:trPr>
          <w:trHeight w:val="315"/>
        </w:trPr>
        <w:tc>
          <w:tcPr>
            <w:tcW w:w="6004" w:type="dxa"/>
            <w:tcBorders>
              <w:top w:val="nil"/>
              <w:left w:val="single" w:sz="4" w:space="0" w:color="000000"/>
              <w:bottom w:val="single" w:sz="4" w:space="0" w:color="666666"/>
              <w:right w:val="single" w:sz="4" w:space="0" w:color="666666"/>
            </w:tcBorders>
            <w:shd w:val="clear" w:color="auto" w:fill="CCCCCC"/>
          </w:tcPr>
          <w:p w:rsidR="00E627E7" w:rsidRPr="00871721" w:rsidRDefault="00E627E7" w:rsidP="00E02D6F"/>
        </w:tc>
        <w:tc>
          <w:tcPr>
            <w:tcW w:w="1519" w:type="dxa"/>
            <w:tcBorders>
              <w:top w:val="nil"/>
              <w:left w:val="nil"/>
              <w:bottom w:val="single" w:sz="4" w:space="0" w:color="666666"/>
              <w:right w:val="single" w:sz="4" w:space="0" w:color="666666"/>
            </w:tcBorders>
            <w:shd w:val="clear" w:color="auto" w:fill="CCCCCC"/>
          </w:tcPr>
          <w:p w:rsidR="00E627E7" w:rsidRPr="00871721" w:rsidRDefault="00E627E7" w:rsidP="00E02D6F">
            <w:pPr>
              <w:jc w:val="center"/>
              <w:rPr>
                <w:b/>
              </w:rPr>
            </w:pPr>
            <w:r w:rsidRPr="00871721">
              <w:rPr>
                <w:b/>
              </w:rPr>
              <w:t>2023</w:t>
            </w:r>
          </w:p>
        </w:tc>
        <w:tc>
          <w:tcPr>
            <w:tcW w:w="1975" w:type="dxa"/>
            <w:tcBorders>
              <w:top w:val="nil"/>
              <w:left w:val="nil"/>
              <w:bottom w:val="single" w:sz="4" w:space="0" w:color="666666"/>
              <w:right w:val="single" w:sz="4" w:space="0" w:color="000000"/>
            </w:tcBorders>
            <w:shd w:val="clear" w:color="auto" w:fill="CCCCCC"/>
          </w:tcPr>
          <w:p w:rsidR="00E627E7" w:rsidRPr="00871721" w:rsidRDefault="00E627E7" w:rsidP="00E02D6F">
            <w:pPr>
              <w:jc w:val="center"/>
              <w:rPr>
                <w:b/>
              </w:rPr>
            </w:pPr>
            <w:r w:rsidRPr="00871721">
              <w:rPr>
                <w:b/>
              </w:rPr>
              <w:t>2022</w:t>
            </w:r>
          </w:p>
        </w:tc>
      </w:tr>
      <w:tr w:rsidR="00E627E7" w:rsidRPr="00871721" w:rsidTr="00E02D6F">
        <w:trPr>
          <w:trHeight w:val="315"/>
        </w:trPr>
        <w:tc>
          <w:tcPr>
            <w:tcW w:w="6004" w:type="dxa"/>
            <w:tcBorders>
              <w:top w:val="nil"/>
              <w:left w:val="single" w:sz="4" w:space="0" w:color="000000"/>
              <w:bottom w:val="single" w:sz="4" w:space="0" w:color="666666"/>
              <w:right w:val="single" w:sz="4" w:space="0" w:color="666666"/>
            </w:tcBorders>
            <w:shd w:val="clear" w:color="auto" w:fill="auto"/>
          </w:tcPr>
          <w:p w:rsidR="00E627E7" w:rsidRPr="00871721" w:rsidRDefault="00E627E7" w:rsidP="00E02D6F"/>
        </w:tc>
        <w:tc>
          <w:tcPr>
            <w:tcW w:w="1519" w:type="dxa"/>
            <w:tcBorders>
              <w:top w:val="nil"/>
              <w:left w:val="nil"/>
              <w:bottom w:val="single" w:sz="4" w:space="0" w:color="666666"/>
              <w:right w:val="single" w:sz="4" w:space="0" w:color="666666"/>
            </w:tcBorders>
            <w:shd w:val="clear" w:color="auto" w:fill="auto"/>
          </w:tcPr>
          <w:p w:rsidR="00E627E7" w:rsidRPr="00871721" w:rsidRDefault="00E627E7" w:rsidP="00E02D6F"/>
        </w:tc>
        <w:tc>
          <w:tcPr>
            <w:tcW w:w="1975" w:type="dxa"/>
            <w:tcBorders>
              <w:top w:val="nil"/>
              <w:left w:val="nil"/>
              <w:bottom w:val="single" w:sz="4" w:space="0" w:color="666666"/>
              <w:right w:val="single" w:sz="4" w:space="0" w:color="000000"/>
            </w:tcBorders>
            <w:shd w:val="clear" w:color="auto" w:fill="auto"/>
          </w:tcPr>
          <w:p w:rsidR="00E627E7" w:rsidRPr="00871721" w:rsidRDefault="00E627E7" w:rsidP="00E02D6F"/>
        </w:tc>
      </w:tr>
      <w:tr w:rsidR="00E627E7" w:rsidRPr="00871721" w:rsidTr="00E02D6F">
        <w:trPr>
          <w:trHeight w:val="315"/>
        </w:trPr>
        <w:tc>
          <w:tcPr>
            <w:tcW w:w="6004" w:type="dxa"/>
            <w:tcBorders>
              <w:top w:val="nil"/>
              <w:left w:val="single" w:sz="4" w:space="0" w:color="000000"/>
              <w:bottom w:val="single" w:sz="4" w:space="0" w:color="666666"/>
              <w:right w:val="single" w:sz="4" w:space="0" w:color="666666"/>
            </w:tcBorders>
            <w:shd w:val="clear" w:color="auto" w:fill="CCCCCC"/>
          </w:tcPr>
          <w:p w:rsidR="00E627E7" w:rsidRPr="00871721" w:rsidRDefault="00E627E7" w:rsidP="00E02D6F">
            <w:pPr>
              <w:rPr>
                <w:b/>
              </w:rPr>
            </w:pPr>
            <w:r w:rsidRPr="00871721">
              <w:t>Utilidad Neta más Gasto Financieros</w:t>
            </w:r>
          </w:p>
        </w:tc>
        <w:tc>
          <w:tcPr>
            <w:tcW w:w="1519" w:type="dxa"/>
            <w:tcBorders>
              <w:top w:val="nil"/>
              <w:left w:val="nil"/>
              <w:bottom w:val="single" w:sz="4" w:space="0" w:color="666666"/>
              <w:right w:val="single" w:sz="4" w:space="0" w:color="666666"/>
            </w:tcBorders>
            <w:shd w:val="clear" w:color="auto" w:fill="CCCCCC"/>
          </w:tcPr>
          <w:p w:rsidR="00E627E7" w:rsidRPr="00871721" w:rsidRDefault="00E627E7" w:rsidP="00E02D6F">
            <w:pPr>
              <w:jc w:val="right"/>
            </w:pPr>
            <w:r w:rsidRPr="00871721">
              <w:t>19,538,643</w:t>
            </w:r>
          </w:p>
        </w:tc>
        <w:tc>
          <w:tcPr>
            <w:tcW w:w="1975" w:type="dxa"/>
            <w:tcBorders>
              <w:top w:val="nil"/>
              <w:left w:val="nil"/>
              <w:bottom w:val="single" w:sz="4" w:space="0" w:color="666666"/>
              <w:right w:val="single" w:sz="4" w:space="0" w:color="666666"/>
            </w:tcBorders>
            <w:shd w:val="clear" w:color="auto" w:fill="CCCCCC"/>
          </w:tcPr>
          <w:p w:rsidR="00E627E7" w:rsidRPr="00871721" w:rsidRDefault="00E627E7" w:rsidP="00E02D6F">
            <w:pPr>
              <w:jc w:val="right"/>
            </w:pPr>
            <w:r w:rsidRPr="00871721">
              <w:t>25,678,991</w:t>
            </w:r>
          </w:p>
        </w:tc>
      </w:tr>
      <w:tr w:rsidR="00E627E7" w:rsidRPr="00871721" w:rsidTr="00E02D6F">
        <w:trPr>
          <w:trHeight w:val="315"/>
        </w:trPr>
        <w:tc>
          <w:tcPr>
            <w:tcW w:w="6004" w:type="dxa"/>
            <w:tcBorders>
              <w:top w:val="nil"/>
              <w:left w:val="single" w:sz="4" w:space="0" w:color="000000"/>
              <w:bottom w:val="single" w:sz="4" w:space="0" w:color="666666"/>
              <w:right w:val="single" w:sz="4" w:space="0" w:color="666666"/>
            </w:tcBorders>
            <w:shd w:val="clear" w:color="auto" w:fill="auto"/>
          </w:tcPr>
          <w:p w:rsidR="00E627E7" w:rsidRPr="00871721" w:rsidRDefault="00E627E7" w:rsidP="00E02D6F">
            <w:pPr>
              <w:rPr>
                <w:b/>
              </w:rPr>
            </w:pPr>
            <w:r w:rsidRPr="00871721">
              <w:t>Gastos Financieros</w:t>
            </w:r>
          </w:p>
        </w:tc>
        <w:tc>
          <w:tcPr>
            <w:tcW w:w="1519" w:type="dxa"/>
            <w:tcBorders>
              <w:top w:val="nil"/>
              <w:left w:val="nil"/>
              <w:bottom w:val="single" w:sz="4" w:space="0" w:color="666666"/>
              <w:right w:val="single" w:sz="4" w:space="0" w:color="666666"/>
            </w:tcBorders>
            <w:shd w:val="clear" w:color="auto" w:fill="auto"/>
          </w:tcPr>
          <w:p w:rsidR="00E627E7" w:rsidRPr="00871721" w:rsidRDefault="00E627E7" w:rsidP="00E02D6F">
            <w:pPr>
              <w:jc w:val="right"/>
            </w:pPr>
            <w:r w:rsidRPr="00871721">
              <w:t>2,723,278</w:t>
            </w:r>
          </w:p>
        </w:tc>
        <w:tc>
          <w:tcPr>
            <w:tcW w:w="1975" w:type="dxa"/>
            <w:tcBorders>
              <w:top w:val="nil"/>
              <w:left w:val="nil"/>
              <w:bottom w:val="single" w:sz="4" w:space="0" w:color="666666"/>
              <w:right w:val="single" w:sz="4" w:space="0" w:color="666666"/>
            </w:tcBorders>
            <w:shd w:val="clear" w:color="auto" w:fill="auto"/>
          </w:tcPr>
          <w:p w:rsidR="00E627E7" w:rsidRPr="00871721" w:rsidRDefault="00E627E7" w:rsidP="00E02D6F">
            <w:pPr>
              <w:jc w:val="right"/>
            </w:pPr>
            <w:r w:rsidRPr="00871721">
              <w:t>2,057,554</w:t>
            </w:r>
          </w:p>
        </w:tc>
      </w:tr>
      <w:tr w:rsidR="00E627E7" w:rsidRPr="00871721" w:rsidTr="00E02D6F">
        <w:trPr>
          <w:trHeight w:val="315"/>
        </w:trPr>
        <w:tc>
          <w:tcPr>
            <w:tcW w:w="6004" w:type="dxa"/>
            <w:tcBorders>
              <w:top w:val="nil"/>
              <w:left w:val="single" w:sz="4" w:space="0" w:color="000000"/>
              <w:bottom w:val="single" w:sz="4" w:space="0" w:color="666666"/>
              <w:right w:val="single" w:sz="4" w:space="0" w:color="666666"/>
            </w:tcBorders>
            <w:shd w:val="clear" w:color="auto" w:fill="CCCCCC"/>
          </w:tcPr>
          <w:p w:rsidR="00E627E7" w:rsidRPr="00871721" w:rsidRDefault="00E627E7" w:rsidP="00E02D6F">
            <w:pPr>
              <w:rPr>
                <w:b/>
              </w:rPr>
            </w:pPr>
            <w:r w:rsidRPr="00871721">
              <w:t>Cobertura Gasto Financiero - (</w:t>
            </w:r>
            <w:proofErr w:type="spellStart"/>
            <w:r w:rsidRPr="00871721">
              <w:t>Utd</w:t>
            </w:r>
            <w:proofErr w:type="spellEnd"/>
            <w:r w:rsidRPr="00871721">
              <w:t xml:space="preserve">. Neta/Gastos. Financieros) </w:t>
            </w:r>
          </w:p>
        </w:tc>
        <w:tc>
          <w:tcPr>
            <w:tcW w:w="1519" w:type="dxa"/>
            <w:tcBorders>
              <w:top w:val="nil"/>
              <w:left w:val="nil"/>
              <w:bottom w:val="single" w:sz="4" w:space="0" w:color="666666"/>
              <w:right w:val="single" w:sz="4" w:space="0" w:color="666666"/>
            </w:tcBorders>
            <w:shd w:val="clear" w:color="auto" w:fill="CCCCCC"/>
          </w:tcPr>
          <w:p w:rsidR="00E627E7" w:rsidRPr="00871721" w:rsidRDefault="00E627E7" w:rsidP="00E02D6F">
            <w:pPr>
              <w:jc w:val="right"/>
            </w:pPr>
            <w:r w:rsidRPr="00871721">
              <w:t>7.2</w:t>
            </w:r>
          </w:p>
        </w:tc>
        <w:tc>
          <w:tcPr>
            <w:tcW w:w="1975" w:type="dxa"/>
            <w:tcBorders>
              <w:top w:val="nil"/>
              <w:left w:val="nil"/>
              <w:bottom w:val="single" w:sz="4" w:space="0" w:color="666666"/>
              <w:right w:val="single" w:sz="4" w:space="0" w:color="666666"/>
            </w:tcBorders>
            <w:shd w:val="clear" w:color="auto" w:fill="CCCCCC"/>
          </w:tcPr>
          <w:p w:rsidR="00E627E7" w:rsidRPr="00871721" w:rsidRDefault="00E627E7" w:rsidP="00E02D6F">
            <w:pPr>
              <w:jc w:val="right"/>
            </w:pPr>
            <w:r w:rsidRPr="00871721">
              <w:t>12.5</w:t>
            </w:r>
          </w:p>
        </w:tc>
      </w:tr>
      <w:tr w:rsidR="00E627E7" w:rsidRPr="00871721" w:rsidTr="00E02D6F">
        <w:trPr>
          <w:trHeight w:val="315"/>
        </w:trPr>
        <w:tc>
          <w:tcPr>
            <w:tcW w:w="6004" w:type="dxa"/>
            <w:tcBorders>
              <w:top w:val="nil"/>
              <w:left w:val="single" w:sz="4" w:space="0" w:color="000000"/>
              <w:bottom w:val="single" w:sz="4" w:space="0" w:color="666666"/>
              <w:right w:val="single" w:sz="4" w:space="0" w:color="666666"/>
            </w:tcBorders>
            <w:shd w:val="clear" w:color="auto" w:fill="auto"/>
          </w:tcPr>
          <w:p w:rsidR="00E627E7" w:rsidRPr="00871721" w:rsidRDefault="00E627E7" w:rsidP="00E02D6F"/>
        </w:tc>
        <w:tc>
          <w:tcPr>
            <w:tcW w:w="1519" w:type="dxa"/>
            <w:tcBorders>
              <w:top w:val="nil"/>
              <w:left w:val="nil"/>
              <w:bottom w:val="single" w:sz="4" w:space="0" w:color="666666"/>
              <w:right w:val="single" w:sz="4" w:space="0" w:color="666666"/>
            </w:tcBorders>
            <w:shd w:val="clear" w:color="auto" w:fill="auto"/>
          </w:tcPr>
          <w:p w:rsidR="00E627E7" w:rsidRPr="00871721" w:rsidRDefault="00E627E7" w:rsidP="00E02D6F">
            <w:pPr>
              <w:jc w:val="right"/>
            </w:pPr>
          </w:p>
        </w:tc>
        <w:tc>
          <w:tcPr>
            <w:tcW w:w="1975" w:type="dxa"/>
            <w:tcBorders>
              <w:top w:val="nil"/>
              <w:left w:val="nil"/>
              <w:bottom w:val="single" w:sz="4" w:space="0" w:color="666666"/>
              <w:right w:val="single" w:sz="4" w:space="0" w:color="666666"/>
            </w:tcBorders>
            <w:shd w:val="clear" w:color="auto" w:fill="auto"/>
          </w:tcPr>
          <w:p w:rsidR="00E627E7" w:rsidRPr="00871721" w:rsidRDefault="00E627E7" w:rsidP="00E02D6F">
            <w:pPr>
              <w:jc w:val="right"/>
            </w:pPr>
          </w:p>
        </w:tc>
      </w:tr>
      <w:tr w:rsidR="00E627E7" w:rsidRPr="00871721" w:rsidTr="00E02D6F">
        <w:trPr>
          <w:trHeight w:val="315"/>
        </w:trPr>
        <w:tc>
          <w:tcPr>
            <w:tcW w:w="6004" w:type="dxa"/>
            <w:tcBorders>
              <w:top w:val="nil"/>
              <w:left w:val="single" w:sz="4" w:space="0" w:color="000000"/>
              <w:bottom w:val="single" w:sz="4" w:space="0" w:color="666666"/>
              <w:right w:val="single" w:sz="4" w:space="0" w:color="666666"/>
            </w:tcBorders>
            <w:shd w:val="clear" w:color="auto" w:fill="CCCCCC"/>
          </w:tcPr>
          <w:p w:rsidR="00E627E7" w:rsidRPr="00871721" w:rsidRDefault="00E627E7" w:rsidP="00E02D6F">
            <w:pPr>
              <w:rPr>
                <w:b/>
              </w:rPr>
            </w:pPr>
            <w:r w:rsidRPr="00871721">
              <w:t>Costo de Ventas</w:t>
            </w:r>
          </w:p>
        </w:tc>
        <w:tc>
          <w:tcPr>
            <w:tcW w:w="1519" w:type="dxa"/>
            <w:tcBorders>
              <w:top w:val="nil"/>
              <w:left w:val="nil"/>
              <w:bottom w:val="single" w:sz="4" w:space="0" w:color="666666"/>
              <w:right w:val="single" w:sz="4" w:space="0" w:color="666666"/>
            </w:tcBorders>
            <w:shd w:val="clear" w:color="auto" w:fill="CCCCCC"/>
          </w:tcPr>
          <w:p w:rsidR="00E627E7" w:rsidRPr="00871721" w:rsidRDefault="00E627E7" w:rsidP="00E02D6F">
            <w:pPr>
              <w:jc w:val="right"/>
            </w:pPr>
            <w:r w:rsidRPr="00871721">
              <w:t>81,718,509</w:t>
            </w:r>
          </w:p>
        </w:tc>
        <w:tc>
          <w:tcPr>
            <w:tcW w:w="1975" w:type="dxa"/>
            <w:tcBorders>
              <w:top w:val="nil"/>
              <w:left w:val="nil"/>
              <w:bottom w:val="single" w:sz="4" w:space="0" w:color="666666"/>
              <w:right w:val="single" w:sz="4" w:space="0" w:color="666666"/>
            </w:tcBorders>
            <w:shd w:val="clear" w:color="auto" w:fill="CCCCCC"/>
          </w:tcPr>
          <w:p w:rsidR="00E627E7" w:rsidRPr="00871721" w:rsidRDefault="00E627E7" w:rsidP="00E02D6F">
            <w:pPr>
              <w:jc w:val="right"/>
            </w:pPr>
            <w:r w:rsidRPr="00871721">
              <w:t>77,922,701</w:t>
            </w:r>
          </w:p>
        </w:tc>
      </w:tr>
      <w:tr w:rsidR="00E627E7" w:rsidRPr="00871721" w:rsidTr="00E02D6F">
        <w:trPr>
          <w:trHeight w:val="315"/>
        </w:trPr>
        <w:tc>
          <w:tcPr>
            <w:tcW w:w="6004" w:type="dxa"/>
            <w:tcBorders>
              <w:top w:val="nil"/>
              <w:left w:val="single" w:sz="4" w:space="0" w:color="000000"/>
              <w:bottom w:val="single" w:sz="4" w:space="0" w:color="666666"/>
              <w:right w:val="single" w:sz="4" w:space="0" w:color="666666"/>
            </w:tcBorders>
            <w:shd w:val="clear" w:color="auto" w:fill="auto"/>
          </w:tcPr>
          <w:p w:rsidR="00E627E7" w:rsidRPr="00871721" w:rsidRDefault="00E627E7" w:rsidP="00E02D6F">
            <w:pPr>
              <w:rPr>
                <w:b/>
              </w:rPr>
            </w:pPr>
            <w:r w:rsidRPr="00871721">
              <w:t>Inventario</w:t>
            </w:r>
          </w:p>
        </w:tc>
        <w:tc>
          <w:tcPr>
            <w:tcW w:w="1519" w:type="dxa"/>
            <w:tcBorders>
              <w:top w:val="nil"/>
              <w:left w:val="nil"/>
              <w:bottom w:val="single" w:sz="4" w:space="0" w:color="666666"/>
              <w:right w:val="single" w:sz="4" w:space="0" w:color="666666"/>
            </w:tcBorders>
            <w:shd w:val="clear" w:color="auto" w:fill="auto"/>
          </w:tcPr>
          <w:p w:rsidR="00E627E7" w:rsidRPr="00871721" w:rsidRDefault="00E627E7" w:rsidP="00E02D6F">
            <w:pPr>
              <w:jc w:val="right"/>
            </w:pPr>
            <w:r w:rsidRPr="00871721">
              <w:t>9,764,142</w:t>
            </w:r>
          </w:p>
        </w:tc>
        <w:tc>
          <w:tcPr>
            <w:tcW w:w="1975" w:type="dxa"/>
            <w:tcBorders>
              <w:top w:val="nil"/>
              <w:left w:val="nil"/>
              <w:bottom w:val="single" w:sz="4" w:space="0" w:color="666666"/>
              <w:right w:val="single" w:sz="4" w:space="0" w:color="666666"/>
            </w:tcBorders>
            <w:shd w:val="clear" w:color="auto" w:fill="auto"/>
          </w:tcPr>
          <w:p w:rsidR="00E627E7" w:rsidRPr="00871721" w:rsidRDefault="00E627E7" w:rsidP="00E02D6F">
            <w:pPr>
              <w:jc w:val="right"/>
            </w:pPr>
            <w:r w:rsidRPr="00871721">
              <w:t>10,389,618</w:t>
            </w:r>
          </w:p>
        </w:tc>
      </w:tr>
      <w:tr w:rsidR="00E627E7" w:rsidRPr="00871721" w:rsidTr="00E02D6F">
        <w:trPr>
          <w:trHeight w:val="315"/>
        </w:trPr>
        <w:tc>
          <w:tcPr>
            <w:tcW w:w="6004" w:type="dxa"/>
            <w:tcBorders>
              <w:top w:val="nil"/>
              <w:left w:val="single" w:sz="4" w:space="0" w:color="000000"/>
              <w:bottom w:val="single" w:sz="4" w:space="0" w:color="666666"/>
              <w:right w:val="single" w:sz="4" w:space="0" w:color="666666"/>
            </w:tcBorders>
            <w:shd w:val="clear" w:color="auto" w:fill="CCCCCC"/>
          </w:tcPr>
          <w:p w:rsidR="00E627E7" w:rsidRPr="00871721" w:rsidRDefault="00E627E7" w:rsidP="00E02D6F">
            <w:pPr>
              <w:rPr>
                <w:b/>
              </w:rPr>
            </w:pPr>
            <w:r w:rsidRPr="00871721">
              <w:t xml:space="preserve">Rotación inventarios - (Costo de </w:t>
            </w:r>
            <w:proofErr w:type="spellStart"/>
            <w:r w:rsidRPr="00871721">
              <w:t>Vtas</w:t>
            </w:r>
            <w:proofErr w:type="spellEnd"/>
            <w:r w:rsidRPr="00871721">
              <w:t xml:space="preserve"> /Inventario) -</w:t>
            </w:r>
          </w:p>
        </w:tc>
        <w:tc>
          <w:tcPr>
            <w:tcW w:w="1519" w:type="dxa"/>
            <w:tcBorders>
              <w:top w:val="nil"/>
              <w:left w:val="nil"/>
              <w:bottom w:val="single" w:sz="4" w:space="0" w:color="666666"/>
              <w:right w:val="single" w:sz="4" w:space="0" w:color="666666"/>
            </w:tcBorders>
            <w:shd w:val="clear" w:color="auto" w:fill="CCCCCC"/>
          </w:tcPr>
          <w:p w:rsidR="00E627E7" w:rsidRPr="00871721" w:rsidRDefault="00E627E7" w:rsidP="00E02D6F">
            <w:pPr>
              <w:jc w:val="right"/>
            </w:pPr>
            <w:r w:rsidRPr="00871721">
              <w:t>8.4</w:t>
            </w:r>
          </w:p>
        </w:tc>
        <w:tc>
          <w:tcPr>
            <w:tcW w:w="1975" w:type="dxa"/>
            <w:tcBorders>
              <w:top w:val="nil"/>
              <w:left w:val="nil"/>
              <w:bottom w:val="single" w:sz="4" w:space="0" w:color="666666"/>
              <w:right w:val="single" w:sz="4" w:space="0" w:color="666666"/>
            </w:tcBorders>
            <w:shd w:val="clear" w:color="auto" w:fill="CCCCCC"/>
          </w:tcPr>
          <w:p w:rsidR="00E627E7" w:rsidRPr="00871721" w:rsidRDefault="00E627E7" w:rsidP="00E02D6F">
            <w:pPr>
              <w:jc w:val="right"/>
            </w:pPr>
            <w:r w:rsidRPr="00871721">
              <w:t>7.5</w:t>
            </w:r>
          </w:p>
        </w:tc>
      </w:tr>
      <w:tr w:rsidR="00E627E7" w:rsidRPr="00871721" w:rsidTr="00E02D6F">
        <w:trPr>
          <w:trHeight w:val="315"/>
        </w:trPr>
        <w:tc>
          <w:tcPr>
            <w:tcW w:w="6004" w:type="dxa"/>
            <w:tcBorders>
              <w:top w:val="nil"/>
              <w:left w:val="single" w:sz="4" w:space="0" w:color="000000"/>
              <w:bottom w:val="single" w:sz="4" w:space="0" w:color="666666"/>
              <w:right w:val="single" w:sz="4" w:space="0" w:color="666666"/>
            </w:tcBorders>
            <w:shd w:val="clear" w:color="auto" w:fill="auto"/>
          </w:tcPr>
          <w:p w:rsidR="00E627E7" w:rsidRPr="00871721" w:rsidRDefault="00E627E7" w:rsidP="00E02D6F"/>
        </w:tc>
        <w:tc>
          <w:tcPr>
            <w:tcW w:w="1519" w:type="dxa"/>
            <w:tcBorders>
              <w:top w:val="nil"/>
              <w:left w:val="nil"/>
              <w:bottom w:val="single" w:sz="4" w:space="0" w:color="666666"/>
              <w:right w:val="single" w:sz="4" w:space="0" w:color="666666"/>
            </w:tcBorders>
            <w:shd w:val="clear" w:color="auto" w:fill="auto"/>
          </w:tcPr>
          <w:p w:rsidR="00E627E7" w:rsidRPr="00871721" w:rsidRDefault="00E627E7" w:rsidP="00E02D6F"/>
        </w:tc>
        <w:tc>
          <w:tcPr>
            <w:tcW w:w="1975" w:type="dxa"/>
            <w:tcBorders>
              <w:top w:val="nil"/>
              <w:left w:val="nil"/>
              <w:bottom w:val="single" w:sz="4" w:space="0" w:color="666666"/>
              <w:right w:val="single" w:sz="4" w:space="0" w:color="666666"/>
            </w:tcBorders>
            <w:shd w:val="clear" w:color="auto" w:fill="auto"/>
          </w:tcPr>
          <w:p w:rsidR="00E627E7" w:rsidRPr="00871721" w:rsidRDefault="00E627E7" w:rsidP="00E02D6F"/>
        </w:tc>
      </w:tr>
      <w:tr w:rsidR="00E627E7" w:rsidRPr="00871721" w:rsidTr="00E02D6F">
        <w:trPr>
          <w:trHeight w:val="315"/>
        </w:trPr>
        <w:tc>
          <w:tcPr>
            <w:tcW w:w="6004" w:type="dxa"/>
            <w:tcBorders>
              <w:top w:val="nil"/>
              <w:left w:val="single" w:sz="4" w:space="0" w:color="000000"/>
              <w:bottom w:val="single" w:sz="4" w:space="0" w:color="666666"/>
              <w:right w:val="single" w:sz="4" w:space="0" w:color="666666"/>
            </w:tcBorders>
            <w:shd w:val="clear" w:color="auto" w:fill="CCCCCC"/>
          </w:tcPr>
          <w:p w:rsidR="00E627E7" w:rsidRPr="00871721" w:rsidRDefault="00E627E7" w:rsidP="00E02D6F">
            <w:pPr>
              <w:rPr>
                <w:b/>
              </w:rPr>
            </w:pPr>
            <w:r w:rsidRPr="00871721">
              <w:t>Ventas Totales</w:t>
            </w:r>
          </w:p>
        </w:tc>
        <w:tc>
          <w:tcPr>
            <w:tcW w:w="1519" w:type="dxa"/>
            <w:tcBorders>
              <w:top w:val="nil"/>
              <w:left w:val="nil"/>
              <w:bottom w:val="single" w:sz="4" w:space="0" w:color="666666"/>
              <w:right w:val="single" w:sz="4" w:space="0" w:color="666666"/>
            </w:tcBorders>
            <w:shd w:val="clear" w:color="auto" w:fill="CCCCCC"/>
          </w:tcPr>
          <w:p w:rsidR="00E627E7" w:rsidRPr="00871721" w:rsidRDefault="00E627E7" w:rsidP="00E02D6F">
            <w:pPr>
              <w:jc w:val="right"/>
            </w:pPr>
            <w:r w:rsidRPr="00871721">
              <w:t>126,351,471</w:t>
            </w:r>
          </w:p>
        </w:tc>
        <w:tc>
          <w:tcPr>
            <w:tcW w:w="1975" w:type="dxa"/>
            <w:tcBorders>
              <w:top w:val="nil"/>
              <w:left w:val="nil"/>
              <w:bottom w:val="single" w:sz="4" w:space="0" w:color="666666"/>
              <w:right w:val="single" w:sz="4" w:space="0" w:color="666666"/>
            </w:tcBorders>
            <w:shd w:val="clear" w:color="auto" w:fill="CCCCCC"/>
          </w:tcPr>
          <w:p w:rsidR="00E627E7" w:rsidRPr="00871721" w:rsidRDefault="00E627E7" w:rsidP="00E02D6F">
            <w:pPr>
              <w:jc w:val="right"/>
            </w:pPr>
            <w:r w:rsidRPr="00871721">
              <w:t>124,954,337</w:t>
            </w:r>
          </w:p>
        </w:tc>
      </w:tr>
      <w:tr w:rsidR="00E627E7" w:rsidRPr="00871721" w:rsidTr="00E02D6F">
        <w:trPr>
          <w:trHeight w:val="315"/>
        </w:trPr>
        <w:tc>
          <w:tcPr>
            <w:tcW w:w="6004" w:type="dxa"/>
            <w:tcBorders>
              <w:top w:val="nil"/>
              <w:left w:val="single" w:sz="4" w:space="0" w:color="000000"/>
              <w:bottom w:val="single" w:sz="4" w:space="0" w:color="666666"/>
              <w:right w:val="single" w:sz="4" w:space="0" w:color="666666"/>
            </w:tcBorders>
            <w:shd w:val="clear" w:color="auto" w:fill="auto"/>
          </w:tcPr>
          <w:p w:rsidR="00E627E7" w:rsidRPr="00871721" w:rsidRDefault="00E627E7" w:rsidP="00E02D6F">
            <w:pPr>
              <w:rPr>
                <w:b/>
              </w:rPr>
            </w:pPr>
            <w:r w:rsidRPr="00871721">
              <w:t>Activo No circulante</w:t>
            </w:r>
          </w:p>
        </w:tc>
        <w:tc>
          <w:tcPr>
            <w:tcW w:w="1519" w:type="dxa"/>
            <w:tcBorders>
              <w:top w:val="nil"/>
              <w:left w:val="nil"/>
              <w:bottom w:val="single" w:sz="4" w:space="0" w:color="666666"/>
              <w:right w:val="single" w:sz="4" w:space="0" w:color="666666"/>
            </w:tcBorders>
            <w:shd w:val="clear" w:color="auto" w:fill="auto"/>
          </w:tcPr>
          <w:p w:rsidR="00E627E7" w:rsidRPr="00871721" w:rsidRDefault="00E627E7" w:rsidP="00E02D6F">
            <w:pPr>
              <w:jc w:val="right"/>
            </w:pPr>
            <w:r w:rsidRPr="00871721">
              <w:t>81,834,191</w:t>
            </w:r>
          </w:p>
        </w:tc>
        <w:tc>
          <w:tcPr>
            <w:tcW w:w="1975" w:type="dxa"/>
            <w:tcBorders>
              <w:top w:val="nil"/>
              <w:left w:val="nil"/>
              <w:bottom w:val="single" w:sz="4" w:space="0" w:color="666666"/>
              <w:right w:val="single" w:sz="4" w:space="0" w:color="666666"/>
            </w:tcBorders>
            <w:shd w:val="clear" w:color="auto" w:fill="auto"/>
          </w:tcPr>
          <w:p w:rsidR="00E627E7" w:rsidRPr="00871721" w:rsidRDefault="00E627E7" w:rsidP="00E02D6F">
            <w:pPr>
              <w:jc w:val="right"/>
            </w:pPr>
            <w:r w:rsidRPr="00871721">
              <w:t>68,411,458</w:t>
            </w:r>
          </w:p>
        </w:tc>
      </w:tr>
      <w:tr w:rsidR="00E627E7" w:rsidRPr="00871721" w:rsidTr="00E02D6F">
        <w:trPr>
          <w:trHeight w:val="315"/>
        </w:trPr>
        <w:tc>
          <w:tcPr>
            <w:tcW w:w="6004" w:type="dxa"/>
            <w:tcBorders>
              <w:top w:val="nil"/>
              <w:left w:val="single" w:sz="4" w:space="0" w:color="000000"/>
              <w:bottom w:val="single" w:sz="4" w:space="0" w:color="666666"/>
              <w:right w:val="single" w:sz="4" w:space="0" w:color="666666"/>
            </w:tcBorders>
            <w:shd w:val="clear" w:color="auto" w:fill="CCCCCC"/>
          </w:tcPr>
          <w:p w:rsidR="00E627E7" w:rsidRPr="00871721" w:rsidRDefault="00E627E7" w:rsidP="00E02D6F">
            <w:pPr>
              <w:rPr>
                <w:b/>
              </w:rPr>
            </w:pPr>
            <w:r w:rsidRPr="00871721">
              <w:t>Rotación Activo No Circulante - (</w:t>
            </w:r>
            <w:proofErr w:type="spellStart"/>
            <w:r w:rsidRPr="00871721">
              <w:t>Vtas</w:t>
            </w:r>
            <w:proofErr w:type="spellEnd"/>
            <w:r w:rsidRPr="00871721">
              <w:t>. Totales/</w:t>
            </w:r>
            <w:proofErr w:type="spellStart"/>
            <w:r w:rsidRPr="00871721">
              <w:t>Act</w:t>
            </w:r>
            <w:proofErr w:type="spellEnd"/>
            <w:r w:rsidRPr="00871721">
              <w:t xml:space="preserve">. No </w:t>
            </w:r>
            <w:proofErr w:type="spellStart"/>
            <w:r w:rsidRPr="00871721">
              <w:t>Cir</w:t>
            </w:r>
            <w:proofErr w:type="spellEnd"/>
            <w:r w:rsidRPr="00871721">
              <w:t>) -</w:t>
            </w:r>
          </w:p>
        </w:tc>
        <w:tc>
          <w:tcPr>
            <w:tcW w:w="1519" w:type="dxa"/>
            <w:tcBorders>
              <w:top w:val="nil"/>
              <w:left w:val="nil"/>
              <w:bottom w:val="single" w:sz="4" w:space="0" w:color="666666"/>
              <w:right w:val="single" w:sz="4" w:space="0" w:color="666666"/>
            </w:tcBorders>
            <w:shd w:val="clear" w:color="auto" w:fill="CCCCCC"/>
          </w:tcPr>
          <w:p w:rsidR="00E627E7" w:rsidRPr="00871721" w:rsidRDefault="00E627E7" w:rsidP="00E02D6F">
            <w:pPr>
              <w:jc w:val="right"/>
            </w:pPr>
            <w:r w:rsidRPr="00871721">
              <w:t>1.5</w:t>
            </w:r>
          </w:p>
        </w:tc>
        <w:tc>
          <w:tcPr>
            <w:tcW w:w="1975" w:type="dxa"/>
            <w:tcBorders>
              <w:top w:val="nil"/>
              <w:left w:val="nil"/>
              <w:bottom w:val="single" w:sz="4" w:space="0" w:color="666666"/>
              <w:right w:val="single" w:sz="4" w:space="0" w:color="666666"/>
            </w:tcBorders>
            <w:shd w:val="clear" w:color="auto" w:fill="CCCCCC"/>
          </w:tcPr>
          <w:p w:rsidR="00E627E7" w:rsidRPr="00871721" w:rsidRDefault="00E627E7" w:rsidP="00E02D6F">
            <w:pPr>
              <w:jc w:val="right"/>
            </w:pPr>
            <w:r w:rsidRPr="00871721">
              <w:t>1.8</w:t>
            </w:r>
          </w:p>
        </w:tc>
      </w:tr>
      <w:tr w:rsidR="00E627E7" w:rsidRPr="00871721" w:rsidTr="00E02D6F">
        <w:trPr>
          <w:trHeight w:val="315"/>
        </w:trPr>
        <w:tc>
          <w:tcPr>
            <w:tcW w:w="6004" w:type="dxa"/>
            <w:tcBorders>
              <w:top w:val="nil"/>
              <w:left w:val="single" w:sz="4" w:space="0" w:color="000000"/>
              <w:bottom w:val="single" w:sz="4" w:space="0" w:color="666666"/>
              <w:right w:val="single" w:sz="4" w:space="0" w:color="666666"/>
            </w:tcBorders>
            <w:shd w:val="clear" w:color="auto" w:fill="auto"/>
          </w:tcPr>
          <w:p w:rsidR="00E627E7" w:rsidRPr="00871721" w:rsidRDefault="00E627E7" w:rsidP="00E02D6F"/>
        </w:tc>
        <w:tc>
          <w:tcPr>
            <w:tcW w:w="1519" w:type="dxa"/>
            <w:tcBorders>
              <w:top w:val="nil"/>
              <w:left w:val="nil"/>
              <w:bottom w:val="single" w:sz="4" w:space="0" w:color="666666"/>
              <w:right w:val="single" w:sz="4" w:space="0" w:color="666666"/>
            </w:tcBorders>
            <w:shd w:val="clear" w:color="auto" w:fill="auto"/>
          </w:tcPr>
          <w:p w:rsidR="00E627E7" w:rsidRPr="00871721" w:rsidRDefault="00E627E7" w:rsidP="00E02D6F"/>
        </w:tc>
        <w:tc>
          <w:tcPr>
            <w:tcW w:w="1975" w:type="dxa"/>
            <w:tcBorders>
              <w:top w:val="nil"/>
              <w:left w:val="nil"/>
              <w:bottom w:val="single" w:sz="4" w:space="0" w:color="666666"/>
              <w:right w:val="single" w:sz="4" w:space="0" w:color="666666"/>
            </w:tcBorders>
            <w:shd w:val="clear" w:color="auto" w:fill="auto"/>
          </w:tcPr>
          <w:p w:rsidR="00E627E7" w:rsidRPr="00871721" w:rsidRDefault="00E627E7" w:rsidP="00E02D6F"/>
        </w:tc>
      </w:tr>
      <w:tr w:rsidR="00E627E7" w:rsidRPr="00871721" w:rsidTr="00E02D6F">
        <w:trPr>
          <w:trHeight w:val="315"/>
        </w:trPr>
        <w:tc>
          <w:tcPr>
            <w:tcW w:w="6004" w:type="dxa"/>
            <w:tcBorders>
              <w:top w:val="nil"/>
              <w:left w:val="single" w:sz="4" w:space="0" w:color="000000"/>
              <w:bottom w:val="single" w:sz="4" w:space="0" w:color="666666"/>
              <w:right w:val="single" w:sz="4" w:space="0" w:color="666666"/>
            </w:tcBorders>
            <w:shd w:val="clear" w:color="auto" w:fill="CCCCCC"/>
          </w:tcPr>
          <w:p w:rsidR="00E627E7" w:rsidRPr="00871721" w:rsidRDefault="00E627E7" w:rsidP="00E02D6F">
            <w:pPr>
              <w:rPr>
                <w:b/>
              </w:rPr>
            </w:pPr>
            <w:r w:rsidRPr="00871721">
              <w:t>Cuentas y Efectos por Cobrar</w:t>
            </w:r>
          </w:p>
        </w:tc>
        <w:tc>
          <w:tcPr>
            <w:tcW w:w="1519" w:type="dxa"/>
            <w:tcBorders>
              <w:top w:val="nil"/>
              <w:left w:val="nil"/>
              <w:bottom w:val="single" w:sz="4" w:space="0" w:color="666666"/>
              <w:right w:val="single" w:sz="4" w:space="0" w:color="666666"/>
            </w:tcBorders>
            <w:shd w:val="clear" w:color="auto" w:fill="CCCCCC"/>
          </w:tcPr>
          <w:p w:rsidR="00E627E7" w:rsidRPr="00871721" w:rsidRDefault="00E627E7" w:rsidP="00E02D6F">
            <w:pPr>
              <w:jc w:val="right"/>
            </w:pPr>
            <w:r w:rsidRPr="00871721">
              <w:t>8,959,524</w:t>
            </w:r>
          </w:p>
        </w:tc>
        <w:tc>
          <w:tcPr>
            <w:tcW w:w="1975" w:type="dxa"/>
            <w:tcBorders>
              <w:top w:val="nil"/>
              <w:left w:val="nil"/>
              <w:bottom w:val="single" w:sz="4" w:space="0" w:color="666666"/>
              <w:right w:val="single" w:sz="4" w:space="0" w:color="666666"/>
            </w:tcBorders>
            <w:shd w:val="clear" w:color="auto" w:fill="CCCCCC"/>
          </w:tcPr>
          <w:p w:rsidR="00E627E7" w:rsidRPr="00871721" w:rsidRDefault="00E627E7" w:rsidP="00E02D6F">
            <w:pPr>
              <w:jc w:val="right"/>
            </w:pPr>
            <w:r w:rsidRPr="00871721">
              <w:t>9,700,548</w:t>
            </w:r>
          </w:p>
        </w:tc>
      </w:tr>
      <w:tr w:rsidR="00E627E7" w:rsidRPr="00871721" w:rsidTr="00E02D6F">
        <w:trPr>
          <w:trHeight w:val="315"/>
        </w:trPr>
        <w:tc>
          <w:tcPr>
            <w:tcW w:w="6004" w:type="dxa"/>
            <w:tcBorders>
              <w:top w:val="nil"/>
              <w:left w:val="single" w:sz="4" w:space="0" w:color="000000"/>
              <w:bottom w:val="single" w:sz="4" w:space="0" w:color="666666"/>
              <w:right w:val="single" w:sz="4" w:space="0" w:color="666666"/>
            </w:tcBorders>
            <w:shd w:val="clear" w:color="auto" w:fill="auto"/>
          </w:tcPr>
          <w:p w:rsidR="00E627E7" w:rsidRPr="00871721" w:rsidRDefault="00E627E7" w:rsidP="00E02D6F">
            <w:pPr>
              <w:rPr>
                <w:b/>
              </w:rPr>
            </w:pPr>
            <w:r w:rsidRPr="00871721">
              <w:t>Ventas Totales</w:t>
            </w:r>
          </w:p>
        </w:tc>
        <w:tc>
          <w:tcPr>
            <w:tcW w:w="1519" w:type="dxa"/>
            <w:tcBorders>
              <w:top w:val="nil"/>
              <w:left w:val="nil"/>
              <w:bottom w:val="single" w:sz="4" w:space="0" w:color="666666"/>
              <w:right w:val="single" w:sz="4" w:space="0" w:color="666666"/>
            </w:tcBorders>
            <w:shd w:val="clear" w:color="auto" w:fill="auto"/>
          </w:tcPr>
          <w:p w:rsidR="00E627E7" w:rsidRPr="00871721" w:rsidRDefault="00E627E7" w:rsidP="00E02D6F">
            <w:pPr>
              <w:jc w:val="right"/>
            </w:pPr>
            <w:r w:rsidRPr="00871721">
              <w:t>126,351,471</w:t>
            </w:r>
          </w:p>
        </w:tc>
        <w:tc>
          <w:tcPr>
            <w:tcW w:w="1975" w:type="dxa"/>
            <w:tcBorders>
              <w:top w:val="nil"/>
              <w:left w:val="nil"/>
              <w:bottom w:val="single" w:sz="4" w:space="0" w:color="666666"/>
              <w:right w:val="single" w:sz="4" w:space="0" w:color="666666"/>
            </w:tcBorders>
            <w:shd w:val="clear" w:color="auto" w:fill="auto"/>
          </w:tcPr>
          <w:p w:rsidR="00E627E7" w:rsidRPr="00871721" w:rsidRDefault="00E627E7" w:rsidP="00E02D6F">
            <w:pPr>
              <w:jc w:val="right"/>
            </w:pPr>
            <w:r w:rsidRPr="00871721">
              <w:t>124,954,337</w:t>
            </w:r>
          </w:p>
        </w:tc>
      </w:tr>
      <w:tr w:rsidR="00E627E7" w:rsidRPr="00871721" w:rsidTr="00E02D6F">
        <w:trPr>
          <w:trHeight w:val="315"/>
        </w:trPr>
        <w:tc>
          <w:tcPr>
            <w:tcW w:w="6004" w:type="dxa"/>
            <w:tcBorders>
              <w:top w:val="nil"/>
              <w:left w:val="single" w:sz="4" w:space="0" w:color="000000"/>
              <w:bottom w:val="single" w:sz="4" w:space="0" w:color="666666"/>
              <w:right w:val="single" w:sz="4" w:space="0" w:color="666666"/>
            </w:tcBorders>
            <w:shd w:val="clear" w:color="auto" w:fill="CCCCCC"/>
          </w:tcPr>
          <w:p w:rsidR="00E627E7" w:rsidRPr="00871721" w:rsidRDefault="00E627E7" w:rsidP="00E02D6F">
            <w:pPr>
              <w:rPr>
                <w:b/>
              </w:rPr>
            </w:pPr>
            <w:r w:rsidRPr="00871721">
              <w:t>Período Medio Cobro - (</w:t>
            </w:r>
            <w:proofErr w:type="spellStart"/>
            <w:r w:rsidRPr="00871721">
              <w:t>Ctas</w:t>
            </w:r>
            <w:proofErr w:type="spellEnd"/>
            <w:r w:rsidRPr="00871721">
              <w:t xml:space="preserve"> por Cobrar/</w:t>
            </w:r>
            <w:proofErr w:type="spellStart"/>
            <w:r w:rsidRPr="00871721">
              <w:t>Vtas</w:t>
            </w:r>
            <w:proofErr w:type="spellEnd"/>
            <w:r w:rsidRPr="00871721">
              <w:t xml:space="preserve">. Totales)*360 </w:t>
            </w:r>
          </w:p>
        </w:tc>
        <w:tc>
          <w:tcPr>
            <w:tcW w:w="1519" w:type="dxa"/>
            <w:tcBorders>
              <w:top w:val="nil"/>
              <w:left w:val="nil"/>
              <w:bottom w:val="single" w:sz="4" w:space="0" w:color="666666"/>
              <w:right w:val="single" w:sz="4" w:space="0" w:color="666666"/>
            </w:tcBorders>
            <w:shd w:val="clear" w:color="auto" w:fill="CCCCCC"/>
          </w:tcPr>
          <w:p w:rsidR="00E627E7" w:rsidRPr="00871721" w:rsidRDefault="00E627E7" w:rsidP="00E02D6F">
            <w:pPr>
              <w:jc w:val="right"/>
            </w:pPr>
            <w:r w:rsidRPr="00871721">
              <w:t>25.5</w:t>
            </w:r>
          </w:p>
        </w:tc>
        <w:tc>
          <w:tcPr>
            <w:tcW w:w="1975" w:type="dxa"/>
            <w:tcBorders>
              <w:top w:val="nil"/>
              <w:left w:val="nil"/>
              <w:bottom w:val="single" w:sz="4" w:space="0" w:color="666666"/>
              <w:right w:val="single" w:sz="4" w:space="0" w:color="666666"/>
            </w:tcBorders>
            <w:shd w:val="clear" w:color="auto" w:fill="CCCCCC"/>
          </w:tcPr>
          <w:p w:rsidR="00E627E7" w:rsidRPr="00871721" w:rsidRDefault="00E627E7" w:rsidP="00E02D6F">
            <w:pPr>
              <w:jc w:val="right"/>
            </w:pPr>
            <w:r w:rsidRPr="00871721">
              <w:t>27.9</w:t>
            </w:r>
          </w:p>
        </w:tc>
      </w:tr>
      <w:tr w:rsidR="00E627E7" w:rsidRPr="00871721" w:rsidTr="00E02D6F">
        <w:trPr>
          <w:trHeight w:val="315"/>
        </w:trPr>
        <w:tc>
          <w:tcPr>
            <w:tcW w:w="6004" w:type="dxa"/>
            <w:tcBorders>
              <w:top w:val="nil"/>
              <w:left w:val="single" w:sz="4" w:space="0" w:color="000000"/>
              <w:bottom w:val="single" w:sz="4" w:space="0" w:color="666666"/>
              <w:right w:val="single" w:sz="4" w:space="0" w:color="666666"/>
            </w:tcBorders>
            <w:shd w:val="clear" w:color="auto" w:fill="auto"/>
          </w:tcPr>
          <w:p w:rsidR="00E627E7" w:rsidRPr="00871721" w:rsidRDefault="00E627E7" w:rsidP="00E02D6F"/>
        </w:tc>
        <w:tc>
          <w:tcPr>
            <w:tcW w:w="1519" w:type="dxa"/>
            <w:tcBorders>
              <w:top w:val="nil"/>
              <w:left w:val="nil"/>
              <w:bottom w:val="single" w:sz="4" w:space="0" w:color="666666"/>
              <w:right w:val="single" w:sz="4" w:space="0" w:color="666666"/>
            </w:tcBorders>
            <w:shd w:val="clear" w:color="auto" w:fill="auto"/>
          </w:tcPr>
          <w:p w:rsidR="00E627E7" w:rsidRPr="00871721" w:rsidRDefault="00E627E7" w:rsidP="00E02D6F"/>
        </w:tc>
        <w:tc>
          <w:tcPr>
            <w:tcW w:w="1975" w:type="dxa"/>
            <w:tcBorders>
              <w:top w:val="nil"/>
              <w:left w:val="nil"/>
              <w:bottom w:val="single" w:sz="4" w:space="0" w:color="666666"/>
              <w:right w:val="single" w:sz="4" w:space="0" w:color="666666"/>
            </w:tcBorders>
            <w:shd w:val="clear" w:color="auto" w:fill="auto"/>
          </w:tcPr>
          <w:p w:rsidR="00E627E7" w:rsidRPr="00871721" w:rsidRDefault="00E627E7" w:rsidP="00E02D6F"/>
        </w:tc>
      </w:tr>
      <w:tr w:rsidR="00E627E7" w:rsidRPr="00871721" w:rsidTr="00E02D6F">
        <w:trPr>
          <w:trHeight w:val="315"/>
        </w:trPr>
        <w:tc>
          <w:tcPr>
            <w:tcW w:w="6004" w:type="dxa"/>
            <w:tcBorders>
              <w:top w:val="nil"/>
              <w:left w:val="single" w:sz="4" w:space="0" w:color="000000"/>
              <w:bottom w:val="single" w:sz="4" w:space="0" w:color="666666"/>
              <w:right w:val="single" w:sz="4" w:space="0" w:color="666666"/>
            </w:tcBorders>
            <w:shd w:val="clear" w:color="auto" w:fill="CCCCCC"/>
          </w:tcPr>
          <w:p w:rsidR="00E627E7" w:rsidRPr="00871721" w:rsidRDefault="00E627E7" w:rsidP="00E02D6F">
            <w:pPr>
              <w:rPr>
                <w:b/>
              </w:rPr>
            </w:pPr>
            <w:r w:rsidRPr="00871721">
              <w:t>Cuentas y Efectos por Pagar</w:t>
            </w:r>
          </w:p>
        </w:tc>
        <w:tc>
          <w:tcPr>
            <w:tcW w:w="1519" w:type="dxa"/>
            <w:tcBorders>
              <w:top w:val="nil"/>
              <w:left w:val="nil"/>
              <w:bottom w:val="single" w:sz="4" w:space="0" w:color="666666"/>
              <w:right w:val="single" w:sz="4" w:space="0" w:color="666666"/>
            </w:tcBorders>
            <w:shd w:val="clear" w:color="auto" w:fill="CCCCCC"/>
          </w:tcPr>
          <w:p w:rsidR="00E627E7" w:rsidRPr="00871721" w:rsidRDefault="00E627E7" w:rsidP="00E02D6F">
            <w:pPr>
              <w:jc w:val="right"/>
            </w:pPr>
            <w:r w:rsidRPr="00871721">
              <w:t>17,809,633</w:t>
            </w:r>
          </w:p>
        </w:tc>
        <w:tc>
          <w:tcPr>
            <w:tcW w:w="1975" w:type="dxa"/>
            <w:tcBorders>
              <w:top w:val="nil"/>
              <w:left w:val="nil"/>
              <w:bottom w:val="single" w:sz="4" w:space="0" w:color="666666"/>
              <w:right w:val="single" w:sz="4" w:space="0" w:color="666666"/>
            </w:tcBorders>
            <w:shd w:val="clear" w:color="auto" w:fill="CCCCCC"/>
          </w:tcPr>
          <w:p w:rsidR="00E627E7" w:rsidRPr="00871721" w:rsidRDefault="00E627E7" w:rsidP="00E02D6F">
            <w:pPr>
              <w:jc w:val="right"/>
            </w:pPr>
            <w:r w:rsidRPr="00871721">
              <w:t>14,200,596</w:t>
            </w:r>
          </w:p>
        </w:tc>
      </w:tr>
      <w:tr w:rsidR="00E627E7" w:rsidRPr="00871721" w:rsidTr="00E02D6F">
        <w:trPr>
          <w:trHeight w:val="315"/>
        </w:trPr>
        <w:tc>
          <w:tcPr>
            <w:tcW w:w="6004" w:type="dxa"/>
            <w:tcBorders>
              <w:top w:val="nil"/>
              <w:left w:val="single" w:sz="4" w:space="0" w:color="000000"/>
              <w:bottom w:val="single" w:sz="4" w:space="0" w:color="666666"/>
              <w:right w:val="single" w:sz="4" w:space="0" w:color="666666"/>
            </w:tcBorders>
            <w:shd w:val="clear" w:color="auto" w:fill="auto"/>
          </w:tcPr>
          <w:p w:rsidR="00E627E7" w:rsidRPr="00871721" w:rsidRDefault="00E627E7" w:rsidP="00E02D6F">
            <w:pPr>
              <w:rPr>
                <w:b/>
              </w:rPr>
            </w:pPr>
            <w:r w:rsidRPr="00871721">
              <w:t>Costo mercadería vendida</w:t>
            </w:r>
          </w:p>
        </w:tc>
        <w:tc>
          <w:tcPr>
            <w:tcW w:w="1519" w:type="dxa"/>
            <w:tcBorders>
              <w:top w:val="nil"/>
              <w:left w:val="nil"/>
              <w:bottom w:val="single" w:sz="4" w:space="0" w:color="666666"/>
              <w:right w:val="single" w:sz="4" w:space="0" w:color="666666"/>
            </w:tcBorders>
            <w:shd w:val="clear" w:color="auto" w:fill="auto"/>
          </w:tcPr>
          <w:p w:rsidR="00E627E7" w:rsidRPr="00871721" w:rsidRDefault="00E627E7" w:rsidP="00E02D6F">
            <w:pPr>
              <w:jc w:val="right"/>
            </w:pPr>
            <w:r w:rsidRPr="00871721">
              <w:t>81,718,509</w:t>
            </w:r>
          </w:p>
        </w:tc>
        <w:tc>
          <w:tcPr>
            <w:tcW w:w="1975" w:type="dxa"/>
            <w:tcBorders>
              <w:top w:val="nil"/>
              <w:left w:val="nil"/>
              <w:bottom w:val="single" w:sz="4" w:space="0" w:color="666666"/>
              <w:right w:val="single" w:sz="4" w:space="0" w:color="666666"/>
            </w:tcBorders>
            <w:shd w:val="clear" w:color="auto" w:fill="auto"/>
          </w:tcPr>
          <w:p w:rsidR="00E627E7" w:rsidRPr="00871721" w:rsidRDefault="00E627E7" w:rsidP="00E02D6F">
            <w:pPr>
              <w:jc w:val="right"/>
            </w:pPr>
            <w:r w:rsidRPr="00871721">
              <w:t>77,922,701</w:t>
            </w:r>
          </w:p>
        </w:tc>
      </w:tr>
      <w:tr w:rsidR="00E627E7" w:rsidRPr="00871721" w:rsidTr="00E02D6F">
        <w:trPr>
          <w:trHeight w:val="315"/>
        </w:trPr>
        <w:tc>
          <w:tcPr>
            <w:tcW w:w="6004" w:type="dxa"/>
            <w:tcBorders>
              <w:top w:val="nil"/>
              <w:left w:val="single" w:sz="4" w:space="0" w:color="000000"/>
              <w:bottom w:val="single" w:sz="4" w:space="0" w:color="666666"/>
              <w:right w:val="single" w:sz="4" w:space="0" w:color="666666"/>
            </w:tcBorders>
            <w:shd w:val="clear" w:color="auto" w:fill="CCCCCC"/>
          </w:tcPr>
          <w:p w:rsidR="00E627E7" w:rsidRPr="00871721" w:rsidRDefault="00E627E7" w:rsidP="00E02D6F">
            <w:pPr>
              <w:rPr>
                <w:b/>
              </w:rPr>
            </w:pPr>
            <w:r w:rsidRPr="00871721">
              <w:t>Período Medio Pago - (</w:t>
            </w:r>
            <w:proofErr w:type="spellStart"/>
            <w:r w:rsidRPr="00871721">
              <w:t>Ctas</w:t>
            </w:r>
            <w:proofErr w:type="spellEnd"/>
            <w:r w:rsidRPr="00871721">
              <w:t xml:space="preserve"> por Pagar/CMV)*360 -</w:t>
            </w:r>
          </w:p>
        </w:tc>
        <w:tc>
          <w:tcPr>
            <w:tcW w:w="1519" w:type="dxa"/>
            <w:tcBorders>
              <w:top w:val="nil"/>
              <w:left w:val="nil"/>
              <w:bottom w:val="single" w:sz="4" w:space="0" w:color="666666"/>
              <w:right w:val="single" w:sz="4" w:space="0" w:color="666666"/>
            </w:tcBorders>
            <w:shd w:val="clear" w:color="auto" w:fill="CCCCCC"/>
          </w:tcPr>
          <w:p w:rsidR="00E627E7" w:rsidRPr="00871721" w:rsidRDefault="00E627E7" w:rsidP="00E02D6F">
            <w:pPr>
              <w:jc w:val="right"/>
            </w:pPr>
            <w:r w:rsidRPr="00871721">
              <w:t>78.5</w:t>
            </w:r>
          </w:p>
        </w:tc>
        <w:tc>
          <w:tcPr>
            <w:tcW w:w="1975" w:type="dxa"/>
            <w:tcBorders>
              <w:top w:val="nil"/>
              <w:left w:val="nil"/>
              <w:bottom w:val="single" w:sz="4" w:space="0" w:color="666666"/>
              <w:right w:val="single" w:sz="4" w:space="0" w:color="666666"/>
            </w:tcBorders>
            <w:shd w:val="clear" w:color="auto" w:fill="CCCCCC"/>
          </w:tcPr>
          <w:p w:rsidR="00E627E7" w:rsidRPr="00871721" w:rsidRDefault="00E627E7" w:rsidP="00E02D6F">
            <w:pPr>
              <w:jc w:val="right"/>
            </w:pPr>
            <w:r w:rsidRPr="00871721">
              <w:t>65.6</w:t>
            </w:r>
          </w:p>
        </w:tc>
      </w:tr>
      <w:tr w:rsidR="00E627E7" w:rsidRPr="00871721" w:rsidTr="00E02D6F">
        <w:trPr>
          <w:trHeight w:val="315"/>
        </w:trPr>
        <w:tc>
          <w:tcPr>
            <w:tcW w:w="6004" w:type="dxa"/>
            <w:tcBorders>
              <w:top w:val="nil"/>
              <w:left w:val="single" w:sz="4" w:space="0" w:color="000000"/>
              <w:bottom w:val="single" w:sz="4" w:space="0" w:color="666666"/>
              <w:right w:val="single" w:sz="4" w:space="0" w:color="666666"/>
            </w:tcBorders>
            <w:shd w:val="clear" w:color="auto" w:fill="auto"/>
          </w:tcPr>
          <w:p w:rsidR="00E627E7" w:rsidRPr="00871721" w:rsidRDefault="00E627E7" w:rsidP="00E02D6F"/>
        </w:tc>
        <w:tc>
          <w:tcPr>
            <w:tcW w:w="1519" w:type="dxa"/>
            <w:tcBorders>
              <w:top w:val="nil"/>
              <w:left w:val="nil"/>
              <w:bottom w:val="single" w:sz="4" w:space="0" w:color="666666"/>
              <w:right w:val="single" w:sz="4" w:space="0" w:color="666666"/>
            </w:tcBorders>
            <w:shd w:val="clear" w:color="auto" w:fill="auto"/>
          </w:tcPr>
          <w:p w:rsidR="00E627E7" w:rsidRPr="00871721" w:rsidRDefault="00E627E7" w:rsidP="00E02D6F"/>
        </w:tc>
        <w:tc>
          <w:tcPr>
            <w:tcW w:w="1975" w:type="dxa"/>
            <w:tcBorders>
              <w:top w:val="nil"/>
              <w:left w:val="nil"/>
              <w:bottom w:val="single" w:sz="4" w:space="0" w:color="666666"/>
              <w:right w:val="single" w:sz="4" w:space="0" w:color="666666"/>
            </w:tcBorders>
            <w:shd w:val="clear" w:color="auto" w:fill="auto"/>
          </w:tcPr>
          <w:p w:rsidR="00E627E7" w:rsidRPr="00871721" w:rsidRDefault="00E627E7" w:rsidP="00E02D6F"/>
        </w:tc>
      </w:tr>
      <w:tr w:rsidR="00E627E7" w:rsidRPr="00871721" w:rsidTr="00E02D6F">
        <w:trPr>
          <w:trHeight w:val="315"/>
        </w:trPr>
        <w:tc>
          <w:tcPr>
            <w:tcW w:w="6004" w:type="dxa"/>
            <w:tcBorders>
              <w:top w:val="nil"/>
              <w:left w:val="single" w:sz="4" w:space="0" w:color="000000"/>
              <w:bottom w:val="single" w:sz="4" w:space="0" w:color="666666"/>
              <w:right w:val="single" w:sz="4" w:space="0" w:color="666666"/>
            </w:tcBorders>
            <w:shd w:val="clear" w:color="auto" w:fill="CCCCCC"/>
          </w:tcPr>
          <w:p w:rsidR="00E627E7" w:rsidRPr="00871721" w:rsidRDefault="00E627E7" w:rsidP="00E02D6F">
            <w:pPr>
              <w:rPr>
                <w:b/>
              </w:rPr>
            </w:pPr>
            <w:r w:rsidRPr="00871721">
              <w:t>Activo Circulante</w:t>
            </w:r>
          </w:p>
        </w:tc>
        <w:tc>
          <w:tcPr>
            <w:tcW w:w="1519" w:type="dxa"/>
            <w:tcBorders>
              <w:top w:val="nil"/>
              <w:left w:val="nil"/>
              <w:bottom w:val="single" w:sz="4" w:space="0" w:color="666666"/>
              <w:right w:val="single" w:sz="4" w:space="0" w:color="666666"/>
            </w:tcBorders>
            <w:shd w:val="clear" w:color="auto" w:fill="CCCCCC"/>
          </w:tcPr>
          <w:p w:rsidR="00E627E7" w:rsidRPr="00871721" w:rsidRDefault="00E627E7" w:rsidP="00E02D6F">
            <w:pPr>
              <w:jc w:val="right"/>
            </w:pPr>
            <w:r w:rsidRPr="00871721">
              <w:t>43,746,998</w:t>
            </w:r>
          </w:p>
        </w:tc>
        <w:tc>
          <w:tcPr>
            <w:tcW w:w="1975" w:type="dxa"/>
            <w:tcBorders>
              <w:top w:val="nil"/>
              <w:left w:val="nil"/>
              <w:bottom w:val="single" w:sz="4" w:space="0" w:color="666666"/>
              <w:right w:val="single" w:sz="4" w:space="0" w:color="666666"/>
            </w:tcBorders>
            <w:shd w:val="clear" w:color="auto" w:fill="CCCCCC"/>
          </w:tcPr>
          <w:p w:rsidR="00E627E7" w:rsidRPr="00871721" w:rsidRDefault="00E627E7" w:rsidP="00E02D6F">
            <w:pPr>
              <w:jc w:val="right"/>
            </w:pPr>
            <w:r w:rsidRPr="00871721">
              <w:t>37,529,688</w:t>
            </w:r>
          </w:p>
        </w:tc>
      </w:tr>
      <w:tr w:rsidR="00E627E7" w:rsidRPr="00871721" w:rsidTr="00E02D6F">
        <w:trPr>
          <w:trHeight w:val="315"/>
        </w:trPr>
        <w:tc>
          <w:tcPr>
            <w:tcW w:w="6004" w:type="dxa"/>
            <w:tcBorders>
              <w:top w:val="nil"/>
              <w:left w:val="single" w:sz="4" w:space="0" w:color="000000"/>
              <w:bottom w:val="single" w:sz="4" w:space="0" w:color="666666"/>
              <w:right w:val="single" w:sz="4" w:space="0" w:color="666666"/>
            </w:tcBorders>
            <w:shd w:val="clear" w:color="auto" w:fill="auto"/>
          </w:tcPr>
          <w:p w:rsidR="00E627E7" w:rsidRPr="00871721" w:rsidRDefault="00E627E7" w:rsidP="00E02D6F">
            <w:pPr>
              <w:rPr>
                <w:b/>
              </w:rPr>
            </w:pPr>
            <w:r w:rsidRPr="00871721">
              <w:t>Pasivo Circulante</w:t>
            </w:r>
          </w:p>
        </w:tc>
        <w:tc>
          <w:tcPr>
            <w:tcW w:w="1519" w:type="dxa"/>
            <w:tcBorders>
              <w:top w:val="nil"/>
              <w:left w:val="nil"/>
              <w:bottom w:val="single" w:sz="4" w:space="0" w:color="666666"/>
              <w:right w:val="single" w:sz="4" w:space="0" w:color="666666"/>
            </w:tcBorders>
            <w:shd w:val="clear" w:color="auto" w:fill="auto"/>
          </w:tcPr>
          <w:p w:rsidR="00E627E7" w:rsidRPr="00871721" w:rsidRDefault="00E627E7" w:rsidP="00E02D6F">
            <w:pPr>
              <w:jc w:val="right"/>
            </w:pPr>
            <w:r w:rsidRPr="00871721">
              <w:t>26,987,352</w:t>
            </w:r>
          </w:p>
        </w:tc>
        <w:tc>
          <w:tcPr>
            <w:tcW w:w="1975" w:type="dxa"/>
            <w:tcBorders>
              <w:top w:val="nil"/>
              <w:left w:val="nil"/>
              <w:bottom w:val="single" w:sz="4" w:space="0" w:color="666666"/>
              <w:right w:val="single" w:sz="4" w:space="0" w:color="666666"/>
            </w:tcBorders>
            <w:shd w:val="clear" w:color="auto" w:fill="auto"/>
          </w:tcPr>
          <w:p w:rsidR="00E627E7" w:rsidRPr="00871721" w:rsidRDefault="00E627E7" w:rsidP="00E02D6F">
            <w:pPr>
              <w:jc w:val="right"/>
            </w:pPr>
            <w:r w:rsidRPr="00871721">
              <w:t>26,023,036</w:t>
            </w:r>
          </w:p>
        </w:tc>
      </w:tr>
      <w:tr w:rsidR="00E627E7" w:rsidRPr="00871721" w:rsidTr="00E02D6F">
        <w:trPr>
          <w:trHeight w:val="315"/>
        </w:trPr>
        <w:tc>
          <w:tcPr>
            <w:tcW w:w="6004" w:type="dxa"/>
            <w:tcBorders>
              <w:top w:val="nil"/>
              <w:left w:val="single" w:sz="4" w:space="0" w:color="000000"/>
              <w:bottom w:val="single" w:sz="4" w:space="0" w:color="666666"/>
              <w:right w:val="single" w:sz="4" w:space="0" w:color="666666"/>
            </w:tcBorders>
            <w:shd w:val="clear" w:color="auto" w:fill="CCCCCC"/>
          </w:tcPr>
          <w:p w:rsidR="00E627E7" w:rsidRPr="00871721" w:rsidRDefault="00E627E7" w:rsidP="00E02D6F">
            <w:pPr>
              <w:rPr>
                <w:b/>
              </w:rPr>
            </w:pPr>
            <w:r w:rsidRPr="00871721">
              <w:t>Capital de Trabajo - (Activo Circulante-Pasivo Circulante) -</w:t>
            </w:r>
          </w:p>
        </w:tc>
        <w:tc>
          <w:tcPr>
            <w:tcW w:w="1519" w:type="dxa"/>
            <w:tcBorders>
              <w:top w:val="nil"/>
              <w:left w:val="nil"/>
              <w:bottom w:val="single" w:sz="4" w:space="0" w:color="666666"/>
              <w:right w:val="single" w:sz="4" w:space="0" w:color="666666"/>
            </w:tcBorders>
            <w:shd w:val="clear" w:color="auto" w:fill="CCCCCC"/>
          </w:tcPr>
          <w:p w:rsidR="00E627E7" w:rsidRPr="00871721" w:rsidRDefault="00E627E7" w:rsidP="00E02D6F">
            <w:pPr>
              <w:jc w:val="right"/>
            </w:pPr>
            <w:r w:rsidRPr="00871721">
              <w:t>16,759,646</w:t>
            </w:r>
          </w:p>
        </w:tc>
        <w:tc>
          <w:tcPr>
            <w:tcW w:w="1975" w:type="dxa"/>
            <w:tcBorders>
              <w:top w:val="nil"/>
              <w:left w:val="nil"/>
              <w:bottom w:val="single" w:sz="4" w:space="0" w:color="666666"/>
              <w:right w:val="single" w:sz="4" w:space="0" w:color="666666"/>
            </w:tcBorders>
            <w:shd w:val="clear" w:color="auto" w:fill="CCCCCC"/>
          </w:tcPr>
          <w:p w:rsidR="00E627E7" w:rsidRPr="00871721" w:rsidRDefault="00E627E7" w:rsidP="00E02D6F">
            <w:pPr>
              <w:jc w:val="right"/>
            </w:pPr>
            <w:r w:rsidRPr="00871721">
              <w:t>11,506,652</w:t>
            </w:r>
          </w:p>
        </w:tc>
      </w:tr>
      <w:tr w:rsidR="00E627E7" w:rsidRPr="00871721" w:rsidTr="00E02D6F">
        <w:trPr>
          <w:trHeight w:val="315"/>
        </w:trPr>
        <w:tc>
          <w:tcPr>
            <w:tcW w:w="6004" w:type="dxa"/>
            <w:tcBorders>
              <w:top w:val="nil"/>
              <w:left w:val="single" w:sz="4" w:space="0" w:color="000000"/>
              <w:bottom w:val="single" w:sz="4" w:space="0" w:color="666666"/>
              <w:right w:val="single" w:sz="4" w:space="0" w:color="666666"/>
            </w:tcBorders>
            <w:shd w:val="clear" w:color="auto" w:fill="auto"/>
          </w:tcPr>
          <w:p w:rsidR="00E627E7" w:rsidRPr="00871721" w:rsidRDefault="00E627E7" w:rsidP="00E02D6F"/>
        </w:tc>
        <w:tc>
          <w:tcPr>
            <w:tcW w:w="1519" w:type="dxa"/>
            <w:tcBorders>
              <w:top w:val="nil"/>
              <w:left w:val="nil"/>
              <w:bottom w:val="single" w:sz="4" w:space="0" w:color="666666"/>
              <w:right w:val="single" w:sz="4" w:space="0" w:color="666666"/>
            </w:tcBorders>
            <w:shd w:val="clear" w:color="auto" w:fill="auto"/>
          </w:tcPr>
          <w:p w:rsidR="00E627E7" w:rsidRPr="00871721" w:rsidRDefault="00E627E7" w:rsidP="00E02D6F"/>
        </w:tc>
        <w:tc>
          <w:tcPr>
            <w:tcW w:w="1975" w:type="dxa"/>
            <w:tcBorders>
              <w:top w:val="nil"/>
              <w:left w:val="nil"/>
              <w:bottom w:val="single" w:sz="4" w:space="0" w:color="666666"/>
              <w:right w:val="single" w:sz="4" w:space="0" w:color="666666"/>
            </w:tcBorders>
            <w:shd w:val="clear" w:color="auto" w:fill="auto"/>
          </w:tcPr>
          <w:p w:rsidR="00E627E7" w:rsidRPr="00871721" w:rsidRDefault="00E627E7" w:rsidP="00E02D6F"/>
        </w:tc>
      </w:tr>
      <w:tr w:rsidR="00E627E7" w:rsidRPr="00871721" w:rsidTr="00E02D6F">
        <w:trPr>
          <w:trHeight w:val="315"/>
        </w:trPr>
        <w:tc>
          <w:tcPr>
            <w:tcW w:w="6004" w:type="dxa"/>
            <w:tcBorders>
              <w:top w:val="nil"/>
              <w:left w:val="single" w:sz="4" w:space="0" w:color="000000"/>
              <w:bottom w:val="single" w:sz="4" w:space="0" w:color="666666"/>
              <w:right w:val="single" w:sz="4" w:space="0" w:color="666666"/>
            </w:tcBorders>
            <w:shd w:val="clear" w:color="auto" w:fill="CCCCCC"/>
          </w:tcPr>
          <w:p w:rsidR="00E627E7" w:rsidRPr="00871721" w:rsidRDefault="00E627E7" w:rsidP="00E02D6F">
            <w:pPr>
              <w:rPr>
                <w:b/>
              </w:rPr>
            </w:pPr>
            <w:r w:rsidRPr="00871721">
              <w:t>Costo de Mercadería Vendida</w:t>
            </w:r>
          </w:p>
        </w:tc>
        <w:tc>
          <w:tcPr>
            <w:tcW w:w="1519" w:type="dxa"/>
            <w:tcBorders>
              <w:top w:val="nil"/>
              <w:left w:val="nil"/>
              <w:bottom w:val="single" w:sz="4" w:space="0" w:color="666666"/>
              <w:right w:val="single" w:sz="4" w:space="0" w:color="666666"/>
            </w:tcBorders>
            <w:shd w:val="clear" w:color="auto" w:fill="CCCCCC"/>
          </w:tcPr>
          <w:p w:rsidR="00E627E7" w:rsidRPr="00871721" w:rsidRDefault="00E627E7" w:rsidP="00E02D6F">
            <w:pPr>
              <w:jc w:val="right"/>
            </w:pPr>
            <w:r w:rsidRPr="00871721">
              <w:t>81,718,509</w:t>
            </w:r>
          </w:p>
        </w:tc>
        <w:tc>
          <w:tcPr>
            <w:tcW w:w="1975" w:type="dxa"/>
            <w:tcBorders>
              <w:top w:val="nil"/>
              <w:left w:val="nil"/>
              <w:bottom w:val="single" w:sz="4" w:space="0" w:color="666666"/>
              <w:right w:val="single" w:sz="4" w:space="0" w:color="666666"/>
            </w:tcBorders>
            <w:shd w:val="clear" w:color="auto" w:fill="CCCCCC"/>
          </w:tcPr>
          <w:p w:rsidR="00E627E7" w:rsidRPr="00871721" w:rsidRDefault="00E627E7" w:rsidP="00E02D6F">
            <w:pPr>
              <w:jc w:val="right"/>
            </w:pPr>
            <w:r w:rsidRPr="00871721">
              <w:t>77,922,701</w:t>
            </w:r>
          </w:p>
        </w:tc>
      </w:tr>
      <w:tr w:rsidR="00E627E7" w:rsidRPr="00871721" w:rsidTr="00E02D6F">
        <w:trPr>
          <w:trHeight w:val="315"/>
        </w:trPr>
        <w:tc>
          <w:tcPr>
            <w:tcW w:w="6004" w:type="dxa"/>
            <w:tcBorders>
              <w:top w:val="nil"/>
              <w:left w:val="single" w:sz="4" w:space="0" w:color="000000"/>
              <w:bottom w:val="single" w:sz="4" w:space="0" w:color="666666"/>
              <w:right w:val="single" w:sz="4" w:space="0" w:color="666666"/>
            </w:tcBorders>
            <w:shd w:val="clear" w:color="auto" w:fill="auto"/>
          </w:tcPr>
          <w:p w:rsidR="00E627E7" w:rsidRPr="00871721" w:rsidRDefault="00E627E7" w:rsidP="00E02D6F">
            <w:pPr>
              <w:rPr>
                <w:b/>
              </w:rPr>
            </w:pPr>
            <w:r w:rsidRPr="00871721">
              <w:t>Inventario</w:t>
            </w:r>
          </w:p>
        </w:tc>
        <w:tc>
          <w:tcPr>
            <w:tcW w:w="1519" w:type="dxa"/>
            <w:tcBorders>
              <w:top w:val="nil"/>
              <w:left w:val="nil"/>
              <w:bottom w:val="single" w:sz="4" w:space="0" w:color="666666"/>
              <w:right w:val="single" w:sz="4" w:space="0" w:color="666666"/>
            </w:tcBorders>
            <w:shd w:val="clear" w:color="auto" w:fill="auto"/>
          </w:tcPr>
          <w:p w:rsidR="00E627E7" w:rsidRPr="00871721" w:rsidRDefault="00E627E7" w:rsidP="00E02D6F">
            <w:pPr>
              <w:jc w:val="right"/>
            </w:pPr>
            <w:r w:rsidRPr="00871721">
              <w:t>9,764,142</w:t>
            </w:r>
          </w:p>
        </w:tc>
        <w:tc>
          <w:tcPr>
            <w:tcW w:w="1975" w:type="dxa"/>
            <w:tcBorders>
              <w:top w:val="nil"/>
              <w:left w:val="nil"/>
              <w:bottom w:val="single" w:sz="4" w:space="0" w:color="666666"/>
              <w:right w:val="single" w:sz="4" w:space="0" w:color="666666"/>
            </w:tcBorders>
            <w:shd w:val="clear" w:color="auto" w:fill="auto"/>
          </w:tcPr>
          <w:p w:rsidR="00E627E7" w:rsidRPr="00871721" w:rsidRDefault="00E627E7" w:rsidP="00E02D6F">
            <w:pPr>
              <w:jc w:val="right"/>
            </w:pPr>
            <w:r w:rsidRPr="00871721">
              <w:t>10,389,618</w:t>
            </w:r>
          </w:p>
        </w:tc>
      </w:tr>
      <w:tr w:rsidR="00E627E7" w:rsidRPr="00871721" w:rsidTr="00E02D6F">
        <w:trPr>
          <w:trHeight w:val="315"/>
        </w:trPr>
        <w:tc>
          <w:tcPr>
            <w:tcW w:w="6004" w:type="dxa"/>
            <w:tcBorders>
              <w:top w:val="nil"/>
              <w:left w:val="single" w:sz="4" w:space="0" w:color="000000"/>
              <w:bottom w:val="single" w:sz="4" w:space="0" w:color="666666"/>
              <w:right w:val="single" w:sz="4" w:space="0" w:color="666666"/>
            </w:tcBorders>
            <w:shd w:val="clear" w:color="auto" w:fill="CCCCCC"/>
          </w:tcPr>
          <w:p w:rsidR="00E627E7" w:rsidRPr="00871721" w:rsidRDefault="00E627E7" w:rsidP="00E02D6F">
            <w:pPr>
              <w:rPr>
                <w:b/>
              </w:rPr>
            </w:pPr>
            <w:r w:rsidRPr="00871721">
              <w:t>Días de Inventario - (CMV/Inventario)*360 -</w:t>
            </w:r>
          </w:p>
        </w:tc>
        <w:tc>
          <w:tcPr>
            <w:tcW w:w="1519" w:type="dxa"/>
            <w:tcBorders>
              <w:top w:val="nil"/>
              <w:left w:val="nil"/>
              <w:bottom w:val="single" w:sz="4" w:space="0" w:color="666666"/>
              <w:right w:val="single" w:sz="4" w:space="0" w:color="666666"/>
            </w:tcBorders>
            <w:shd w:val="clear" w:color="auto" w:fill="CCCCCC"/>
          </w:tcPr>
          <w:p w:rsidR="00E627E7" w:rsidRPr="00871721" w:rsidRDefault="00E627E7" w:rsidP="00E02D6F">
            <w:pPr>
              <w:jc w:val="right"/>
            </w:pPr>
            <w:r w:rsidRPr="00871721">
              <w:t>43.0</w:t>
            </w:r>
          </w:p>
        </w:tc>
        <w:tc>
          <w:tcPr>
            <w:tcW w:w="1975" w:type="dxa"/>
            <w:tcBorders>
              <w:top w:val="nil"/>
              <w:left w:val="nil"/>
              <w:bottom w:val="single" w:sz="4" w:space="0" w:color="666666"/>
              <w:right w:val="single" w:sz="4" w:space="0" w:color="666666"/>
            </w:tcBorders>
            <w:shd w:val="clear" w:color="auto" w:fill="CCCCCC"/>
          </w:tcPr>
          <w:p w:rsidR="00E627E7" w:rsidRPr="00871721" w:rsidRDefault="00E627E7" w:rsidP="00E02D6F">
            <w:pPr>
              <w:jc w:val="right"/>
            </w:pPr>
            <w:r w:rsidRPr="00871721">
              <w:t>48.0</w:t>
            </w:r>
          </w:p>
        </w:tc>
      </w:tr>
      <w:tr w:rsidR="00E627E7" w:rsidRPr="00871721" w:rsidTr="00E02D6F">
        <w:trPr>
          <w:trHeight w:val="315"/>
        </w:trPr>
        <w:tc>
          <w:tcPr>
            <w:tcW w:w="6004" w:type="dxa"/>
            <w:tcBorders>
              <w:top w:val="nil"/>
              <w:left w:val="single" w:sz="4" w:space="0" w:color="000000"/>
              <w:bottom w:val="single" w:sz="4" w:space="0" w:color="666666"/>
              <w:right w:val="single" w:sz="4" w:space="0" w:color="666666"/>
            </w:tcBorders>
            <w:shd w:val="clear" w:color="auto" w:fill="auto"/>
          </w:tcPr>
          <w:p w:rsidR="00E627E7" w:rsidRPr="00871721" w:rsidRDefault="00E627E7" w:rsidP="00E02D6F"/>
        </w:tc>
        <w:tc>
          <w:tcPr>
            <w:tcW w:w="1519" w:type="dxa"/>
            <w:tcBorders>
              <w:top w:val="nil"/>
              <w:left w:val="nil"/>
              <w:bottom w:val="single" w:sz="4" w:space="0" w:color="666666"/>
              <w:right w:val="single" w:sz="4" w:space="0" w:color="666666"/>
            </w:tcBorders>
            <w:shd w:val="clear" w:color="auto" w:fill="auto"/>
          </w:tcPr>
          <w:p w:rsidR="00E627E7" w:rsidRPr="00871721" w:rsidRDefault="00E627E7" w:rsidP="00E02D6F"/>
        </w:tc>
        <w:tc>
          <w:tcPr>
            <w:tcW w:w="1975" w:type="dxa"/>
            <w:tcBorders>
              <w:top w:val="nil"/>
              <w:left w:val="nil"/>
              <w:bottom w:val="single" w:sz="4" w:space="0" w:color="666666"/>
              <w:right w:val="single" w:sz="4" w:space="0" w:color="666666"/>
            </w:tcBorders>
            <w:shd w:val="clear" w:color="auto" w:fill="auto"/>
          </w:tcPr>
          <w:p w:rsidR="00E627E7" w:rsidRPr="00871721" w:rsidRDefault="00E627E7" w:rsidP="00E02D6F"/>
        </w:tc>
      </w:tr>
      <w:tr w:rsidR="00E627E7" w:rsidRPr="00871721" w:rsidTr="00E02D6F">
        <w:trPr>
          <w:trHeight w:val="315"/>
        </w:trPr>
        <w:tc>
          <w:tcPr>
            <w:tcW w:w="6004" w:type="dxa"/>
            <w:tcBorders>
              <w:top w:val="nil"/>
              <w:left w:val="single" w:sz="4" w:space="0" w:color="000000"/>
              <w:bottom w:val="single" w:sz="4" w:space="0" w:color="666666"/>
              <w:right w:val="single" w:sz="4" w:space="0" w:color="666666"/>
            </w:tcBorders>
            <w:shd w:val="clear" w:color="auto" w:fill="CCCCCC"/>
          </w:tcPr>
          <w:p w:rsidR="00E627E7" w:rsidRPr="00871721" w:rsidRDefault="00E627E7" w:rsidP="00E02D6F">
            <w:pPr>
              <w:rPr>
                <w:b/>
              </w:rPr>
            </w:pPr>
            <w:r w:rsidRPr="00871721">
              <w:t>Morosidad Cuentas por Cobrar</w:t>
            </w:r>
          </w:p>
        </w:tc>
        <w:tc>
          <w:tcPr>
            <w:tcW w:w="1519" w:type="dxa"/>
            <w:tcBorders>
              <w:top w:val="nil"/>
              <w:left w:val="nil"/>
              <w:bottom w:val="single" w:sz="4" w:space="0" w:color="666666"/>
              <w:right w:val="single" w:sz="4" w:space="0" w:color="666666"/>
            </w:tcBorders>
            <w:shd w:val="clear" w:color="auto" w:fill="CCCCCC"/>
          </w:tcPr>
          <w:p w:rsidR="00E627E7" w:rsidRPr="00871721" w:rsidRDefault="00E627E7" w:rsidP="00E02D6F"/>
        </w:tc>
        <w:tc>
          <w:tcPr>
            <w:tcW w:w="1975" w:type="dxa"/>
            <w:tcBorders>
              <w:top w:val="nil"/>
              <w:left w:val="nil"/>
              <w:bottom w:val="single" w:sz="4" w:space="0" w:color="666666"/>
              <w:right w:val="single" w:sz="4" w:space="0" w:color="666666"/>
            </w:tcBorders>
            <w:shd w:val="clear" w:color="auto" w:fill="CCCCCC"/>
          </w:tcPr>
          <w:p w:rsidR="00E627E7" w:rsidRPr="00871721" w:rsidRDefault="00E627E7" w:rsidP="00E02D6F"/>
        </w:tc>
      </w:tr>
      <w:tr w:rsidR="00E627E7" w:rsidRPr="00871721" w:rsidTr="00E02D6F">
        <w:trPr>
          <w:trHeight w:val="315"/>
        </w:trPr>
        <w:tc>
          <w:tcPr>
            <w:tcW w:w="6004" w:type="dxa"/>
            <w:tcBorders>
              <w:top w:val="nil"/>
              <w:left w:val="single" w:sz="4" w:space="0" w:color="000000"/>
              <w:bottom w:val="single" w:sz="4" w:space="0" w:color="666666"/>
              <w:right w:val="single" w:sz="4" w:space="0" w:color="666666"/>
            </w:tcBorders>
            <w:shd w:val="clear" w:color="auto" w:fill="auto"/>
          </w:tcPr>
          <w:p w:rsidR="00E627E7" w:rsidRPr="00871721" w:rsidRDefault="00E627E7" w:rsidP="00E02D6F">
            <w:pPr>
              <w:rPr>
                <w:b/>
              </w:rPr>
            </w:pPr>
            <w:r w:rsidRPr="00871721">
              <w:t>Sin vencer</w:t>
            </w:r>
          </w:p>
        </w:tc>
        <w:tc>
          <w:tcPr>
            <w:tcW w:w="1519" w:type="dxa"/>
            <w:tcBorders>
              <w:top w:val="nil"/>
              <w:left w:val="nil"/>
              <w:bottom w:val="single" w:sz="4" w:space="0" w:color="666666"/>
              <w:right w:val="single" w:sz="4" w:space="0" w:color="666666"/>
            </w:tcBorders>
            <w:shd w:val="clear" w:color="auto" w:fill="auto"/>
          </w:tcPr>
          <w:p w:rsidR="00E627E7" w:rsidRPr="00871721" w:rsidRDefault="00E627E7" w:rsidP="00E02D6F">
            <w:pPr>
              <w:jc w:val="right"/>
            </w:pPr>
            <w:r w:rsidRPr="00871721">
              <w:t>5,743,149</w:t>
            </w:r>
          </w:p>
        </w:tc>
        <w:tc>
          <w:tcPr>
            <w:tcW w:w="1975" w:type="dxa"/>
            <w:tcBorders>
              <w:top w:val="nil"/>
              <w:left w:val="nil"/>
              <w:bottom w:val="single" w:sz="4" w:space="0" w:color="666666"/>
              <w:right w:val="single" w:sz="4" w:space="0" w:color="666666"/>
            </w:tcBorders>
            <w:shd w:val="clear" w:color="auto" w:fill="auto"/>
          </w:tcPr>
          <w:p w:rsidR="00E627E7" w:rsidRPr="00871721" w:rsidRDefault="00E627E7" w:rsidP="00E02D6F">
            <w:pPr>
              <w:jc w:val="right"/>
            </w:pPr>
            <w:r w:rsidRPr="00871721">
              <w:t>5,721,481</w:t>
            </w:r>
          </w:p>
        </w:tc>
      </w:tr>
      <w:tr w:rsidR="00E627E7" w:rsidRPr="00871721" w:rsidTr="00E02D6F">
        <w:trPr>
          <w:trHeight w:val="315"/>
        </w:trPr>
        <w:tc>
          <w:tcPr>
            <w:tcW w:w="6004" w:type="dxa"/>
            <w:tcBorders>
              <w:top w:val="nil"/>
              <w:left w:val="single" w:sz="4" w:space="0" w:color="000000"/>
              <w:bottom w:val="single" w:sz="4" w:space="0" w:color="666666"/>
              <w:right w:val="single" w:sz="4" w:space="0" w:color="666666"/>
            </w:tcBorders>
            <w:shd w:val="clear" w:color="auto" w:fill="CCCCCC"/>
          </w:tcPr>
          <w:p w:rsidR="00E627E7" w:rsidRPr="00871721" w:rsidRDefault="00E627E7" w:rsidP="00E02D6F">
            <w:pPr>
              <w:rPr>
                <w:b/>
              </w:rPr>
            </w:pPr>
            <w:r w:rsidRPr="00871721">
              <w:t>1-60 días</w:t>
            </w:r>
          </w:p>
        </w:tc>
        <w:tc>
          <w:tcPr>
            <w:tcW w:w="1519" w:type="dxa"/>
            <w:tcBorders>
              <w:top w:val="nil"/>
              <w:left w:val="nil"/>
              <w:bottom w:val="single" w:sz="4" w:space="0" w:color="666666"/>
              <w:right w:val="single" w:sz="4" w:space="0" w:color="666666"/>
            </w:tcBorders>
            <w:shd w:val="clear" w:color="auto" w:fill="CCCCCC"/>
          </w:tcPr>
          <w:p w:rsidR="00E627E7" w:rsidRPr="00871721" w:rsidRDefault="00E627E7" w:rsidP="00E02D6F">
            <w:pPr>
              <w:jc w:val="right"/>
            </w:pPr>
            <w:r w:rsidRPr="00871721">
              <w:t>1,731,857</w:t>
            </w:r>
          </w:p>
        </w:tc>
        <w:tc>
          <w:tcPr>
            <w:tcW w:w="1975" w:type="dxa"/>
            <w:tcBorders>
              <w:top w:val="nil"/>
              <w:left w:val="nil"/>
              <w:bottom w:val="single" w:sz="4" w:space="0" w:color="666666"/>
              <w:right w:val="single" w:sz="4" w:space="0" w:color="666666"/>
            </w:tcBorders>
            <w:shd w:val="clear" w:color="auto" w:fill="CCCCCC"/>
          </w:tcPr>
          <w:p w:rsidR="00E627E7" w:rsidRPr="00871721" w:rsidRDefault="00E627E7" w:rsidP="00E02D6F">
            <w:pPr>
              <w:jc w:val="right"/>
            </w:pPr>
            <w:r w:rsidRPr="00871721">
              <w:t>3,422,080</w:t>
            </w:r>
          </w:p>
        </w:tc>
      </w:tr>
      <w:tr w:rsidR="00E627E7" w:rsidRPr="00871721" w:rsidTr="00E02D6F">
        <w:trPr>
          <w:trHeight w:val="315"/>
        </w:trPr>
        <w:tc>
          <w:tcPr>
            <w:tcW w:w="6004" w:type="dxa"/>
            <w:tcBorders>
              <w:top w:val="nil"/>
              <w:left w:val="single" w:sz="4" w:space="0" w:color="000000"/>
              <w:bottom w:val="single" w:sz="4" w:space="0" w:color="666666"/>
              <w:right w:val="single" w:sz="4" w:space="0" w:color="666666"/>
            </w:tcBorders>
            <w:shd w:val="clear" w:color="auto" w:fill="auto"/>
          </w:tcPr>
          <w:p w:rsidR="00E627E7" w:rsidRPr="00871721" w:rsidRDefault="00E627E7" w:rsidP="00E02D6F">
            <w:pPr>
              <w:rPr>
                <w:b/>
              </w:rPr>
            </w:pPr>
            <w:r w:rsidRPr="00871721">
              <w:t>Más de 60 días</w:t>
            </w:r>
          </w:p>
        </w:tc>
        <w:tc>
          <w:tcPr>
            <w:tcW w:w="1519" w:type="dxa"/>
            <w:tcBorders>
              <w:top w:val="nil"/>
              <w:left w:val="nil"/>
              <w:bottom w:val="single" w:sz="4" w:space="0" w:color="666666"/>
              <w:right w:val="single" w:sz="4" w:space="0" w:color="666666"/>
            </w:tcBorders>
            <w:shd w:val="clear" w:color="auto" w:fill="auto"/>
          </w:tcPr>
          <w:p w:rsidR="00E627E7" w:rsidRPr="00871721" w:rsidRDefault="00E627E7" w:rsidP="00E02D6F">
            <w:pPr>
              <w:jc w:val="right"/>
            </w:pPr>
            <w:r w:rsidRPr="00871721">
              <w:t>1,484,518</w:t>
            </w:r>
          </w:p>
        </w:tc>
        <w:tc>
          <w:tcPr>
            <w:tcW w:w="1975" w:type="dxa"/>
            <w:tcBorders>
              <w:top w:val="nil"/>
              <w:left w:val="nil"/>
              <w:bottom w:val="single" w:sz="4" w:space="0" w:color="666666"/>
              <w:right w:val="single" w:sz="4" w:space="0" w:color="666666"/>
            </w:tcBorders>
            <w:shd w:val="clear" w:color="auto" w:fill="auto"/>
          </w:tcPr>
          <w:p w:rsidR="00E627E7" w:rsidRPr="00871721" w:rsidRDefault="00E627E7" w:rsidP="00E02D6F">
            <w:pPr>
              <w:jc w:val="right"/>
            </w:pPr>
            <w:r w:rsidRPr="00871721">
              <w:t>556,987</w:t>
            </w:r>
          </w:p>
        </w:tc>
      </w:tr>
      <w:tr w:rsidR="00E627E7" w:rsidRPr="00871721" w:rsidTr="00E02D6F">
        <w:trPr>
          <w:trHeight w:val="315"/>
        </w:trPr>
        <w:tc>
          <w:tcPr>
            <w:tcW w:w="6004" w:type="dxa"/>
            <w:tcBorders>
              <w:top w:val="nil"/>
              <w:left w:val="single" w:sz="4" w:space="0" w:color="000000"/>
              <w:bottom w:val="single" w:sz="4" w:space="0" w:color="666666"/>
              <w:right w:val="single" w:sz="4" w:space="0" w:color="666666"/>
            </w:tcBorders>
            <w:shd w:val="clear" w:color="auto" w:fill="CCCCCC"/>
          </w:tcPr>
          <w:p w:rsidR="00E627E7" w:rsidRPr="00871721" w:rsidRDefault="00E627E7" w:rsidP="00E02D6F">
            <w:pPr>
              <w:rPr>
                <w:b/>
              </w:rPr>
            </w:pPr>
            <w:r w:rsidRPr="00871721">
              <w:t>Total (Sumatoria de Indicadores Previos)</w:t>
            </w:r>
          </w:p>
        </w:tc>
        <w:tc>
          <w:tcPr>
            <w:tcW w:w="1519" w:type="dxa"/>
            <w:tcBorders>
              <w:top w:val="nil"/>
              <w:left w:val="nil"/>
              <w:bottom w:val="single" w:sz="4" w:space="0" w:color="666666"/>
              <w:right w:val="single" w:sz="4" w:space="0" w:color="666666"/>
            </w:tcBorders>
            <w:shd w:val="clear" w:color="auto" w:fill="CCCCCC"/>
          </w:tcPr>
          <w:p w:rsidR="00E627E7" w:rsidRPr="00871721" w:rsidRDefault="00E627E7" w:rsidP="00E02D6F">
            <w:pPr>
              <w:jc w:val="right"/>
            </w:pPr>
            <w:r w:rsidRPr="00871721">
              <w:t>8,959,524</w:t>
            </w:r>
          </w:p>
        </w:tc>
        <w:tc>
          <w:tcPr>
            <w:tcW w:w="1975" w:type="dxa"/>
            <w:tcBorders>
              <w:top w:val="nil"/>
              <w:left w:val="nil"/>
              <w:bottom w:val="single" w:sz="4" w:space="0" w:color="666666"/>
              <w:right w:val="single" w:sz="4" w:space="0" w:color="666666"/>
            </w:tcBorders>
            <w:shd w:val="clear" w:color="auto" w:fill="CCCCCC"/>
          </w:tcPr>
          <w:p w:rsidR="00E627E7" w:rsidRPr="00871721" w:rsidRDefault="00E627E7" w:rsidP="00E02D6F">
            <w:pPr>
              <w:jc w:val="right"/>
            </w:pPr>
            <w:r w:rsidRPr="00871721">
              <w:t>9,700,548</w:t>
            </w:r>
          </w:p>
        </w:tc>
      </w:tr>
    </w:tbl>
    <w:p w:rsidR="00E627E7" w:rsidRPr="00871721" w:rsidRDefault="00E627E7" w:rsidP="00E627E7">
      <w:pPr>
        <w:rPr>
          <w:sz w:val="20"/>
          <w:szCs w:val="20"/>
        </w:rPr>
      </w:pPr>
    </w:p>
    <w:p w:rsidR="00E627E7" w:rsidRPr="00871721" w:rsidRDefault="00E627E7" w:rsidP="00E627E7">
      <w:pPr>
        <w:jc w:val="both"/>
      </w:pPr>
    </w:p>
    <w:p w:rsidR="00E627E7" w:rsidRPr="00871721" w:rsidRDefault="00E627E7" w:rsidP="00E627E7">
      <w:pPr>
        <w:jc w:val="both"/>
      </w:pPr>
      <w:r w:rsidRPr="00871721">
        <w:rPr>
          <w:b/>
        </w:rPr>
        <w:t xml:space="preserve">Cobertura gasto financiero: </w:t>
      </w:r>
      <w:r w:rsidRPr="00871721">
        <w:t>El cálculo de esta razón corresponde a tomar la utilidad neta atribuible a accionistas y sumarle los gastos financieros; el resultado anterior se divide entre los gastos financieros.  Se debe tomar en cuenta que se tiene siete mil millones de colones de utilidades restringidas. Este indicador muestra el número de veces que las ganancias netas antes de intereses cubren la carga financiera.</w:t>
      </w:r>
    </w:p>
    <w:p w:rsidR="00E627E7" w:rsidRPr="00871721" w:rsidRDefault="00E627E7" w:rsidP="00E627E7">
      <w:pPr>
        <w:jc w:val="both"/>
      </w:pPr>
    </w:p>
    <w:p w:rsidR="00E627E7" w:rsidRPr="00871721" w:rsidRDefault="00E627E7" w:rsidP="00E627E7">
      <w:pPr>
        <w:jc w:val="both"/>
      </w:pPr>
      <w:r w:rsidRPr="00871721">
        <w:t>El nivel de deuda incide en una carga financiera baja con coberturas de intereses superiores al promedio de la industria. El gasto financiero de 2023 se vio impactado por la revaluación del colón, un 49% de variación versus 2022, el cual obedece a efectos en el tipo de cambio. Y al gasto financiero asociado a la operación de las adquisiciones.</w:t>
      </w:r>
    </w:p>
    <w:p w:rsidR="00E627E7" w:rsidRPr="00871721" w:rsidRDefault="00E627E7" w:rsidP="00E627E7">
      <w:pPr>
        <w:jc w:val="both"/>
      </w:pPr>
    </w:p>
    <w:p w:rsidR="00E627E7" w:rsidRPr="00871721" w:rsidRDefault="00E627E7" w:rsidP="00E627E7">
      <w:pPr>
        <w:jc w:val="both"/>
        <w:rPr>
          <w:b/>
        </w:rPr>
      </w:pPr>
      <w:r w:rsidRPr="00871721">
        <w:rPr>
          <w:b/>
        </w:rPr>
        <w:t xml:space="preserve">Rotación del inventario: </w:t>
      </w:r>
      <w:r w:rsidRPr="00871721">
        <w:t xml:space="preserve">El cálculo de esta razón corresponde a tomar el costo de mercadería vendida y dividirlo entre el inventario total.  El resultado se interpreta como las veces que rota el inventario en un año.  </w:t>
      </w:r>
    </w:p>
    <w:p w:rsidR="00E627E7" w:rsidRPr="00871721" w:rsidRDefault="00E627E7" w:rsidP="00E627E7">
      <w:pPr>
        <w:jc w:val="both"/>
      </w:pPr>
    </w:p>
    <w:p w:rsidR="00E627E7" w:rsidRPr="00871721" w:rsidRDefault="00E627E7" w:rsidP="00E627E7">
      <w:pPr>
        <w:jc w:val="both"/>
      </w:pPr>
      <w:r w:rsidRPr="00871721">
        <w:t>Producto de la continua optimización de inventarios se logró aumentar la rotación a 8.4 veces, a pesar del incremento en costos de ventas.</w:t>
      </w:r>
    </w:p>
    <w:p w:rsidR="00E627E7" w:rsidRPr="00871721" w:rsidRDefault="00E627E7" w:rsidP="00E627E7">
      <w:pPr>
        <w:jc w:val="both"/>
      </w:pPr>
    </w:p>
    <w:p w:rsidR="00E627E7" w:rsidRPr="00871721" w:rsidRDefault="00E627E7" w:rsidP="00E627E7">
      <w:pPr>
        <w:jc w:val="both"/>
      </w:pPr>
      <w:r w:rsidRPr="00871721">
        <w:rPr>
          <w:b/>
        </w:rPr>
        <w:t xml:space="preserve">Días inventario: </w:t>
      </w:r>
      <w:r w:rsidRPr="00871721">
        <w:t xml:space="preserve">El cálculo de esta razón corresponde a dividir 360 días entre la rotación de inventarios.  El resultado se interpreta como el número de días de ventas que la empresa tiene en existencias para cubrir el mercado en caso de que no haya producción.  </w:t>
      </w:r>
    </w:p>
    <w:p w:rsidR="00E627E7" w:rsidRPr="00871721" w:rsidRDefault="00E627E7" w:rsidP="00E627E7">
      <w:pPr>
        <w:jc w:val="both"/>
      </w:pPr>
    </w:p>
    <w:p w:rsidR="00E627E7" w:rsidRPr="00871721" w:rsidRDefault="00E627E7" w:rsidP="00E627E7">
      <w:pPr>
        <w:jc w:val="both"/>
      </w:pPr>
      <w:r w:rsidRPr="00871721">
        <w:t xml:space="preserve">A pesar de incursionar en nuevas líneas de negocio, se logró reducir el inventario de 48 a 43 días. </w:t>
      </w:r>
    </w:p>
    <w:p w:rsidR="00E627E7" w:rsidRPr="00871721" w:rsidRDefault="00E627E7" w:rsidP="00E627E7">
      <w:pPr>
        <w:jc w:val="both"/>
      </w:pPr>
    </w:p>
    <w:p w:rsidR="00E627E7" w:rsidRPr="00871721" w:rsidRDefault="00E627E7" w:rsidP="00E627E7">
      <w:pPr>
        <w:jc w:val="both"/>
      </w:pPr>
      <w:r w:rsidRPr="00871721">
        <w:rPr>
          <w:b/>
        </w:rPr>
        <w:t xml:space="preserve">Rotación de activo fijo: </w:t>
      </w:r>
      <w:r w:rsidRPr="00871721">
        <w:t>El cálculo de esta razón corresponde a tomar las ventas totales y dividirlas entre el activo fijo total.  Se interpreta como la efectividad que tiene la empresa para utilizar su activo fijo total y convertirlo en desempeño comercial a través de las ventas</w:t>
      </w:r>
      <w:r w:rsidRPr="00871721">
        <w:rPr>
          <w:b/>
        </w:rPr>
        <w:t>.</w:t>
      </w:r>
    </w:p>
    <w:p w:rsidR="00E627E7" w:rsidRPr="00871721" w:rsidRDefault="00E627E7" w:rsidP="00E627E7">
      <w:pPr>
        <w:jc w:val="both"/>
      </w:pPr>
    </w:p>
    <w:p w:rsidR="00E627E7" w:rsidRPr="00871721" w:rsidRDefault="00E627E7" w:rsidP="00E627E7">
      <w:pPr>
        <w:jc w:val="both"/>
      </w:pPr>
      <w:r w:rsidRPr="00871721">
        <w:t>En el 2023 las ventas aumentaron un 1.1%, mientras que el activo creció (19.6%). Con lo cual, la utilización de los activos se redujo de 1.8 a 1.5 veces.</w:t>
      </w:r>
    </w:p>
    <w:p w:rsidR="00E627E7" w:rsidRPr="00871721" w:rsidRDefault="00E627E7" w:rsidP="00E627E7">
      <w:pPr>
        <w:jc w:val="both"/>
      </w:pPr>
    </w:p>
    <w:p w:rsidR="00E627E7" w:rsidRPr="00871721" w:rsidRDefault="00E627E7" w:rsidP="00E627E7">
      <w:pPr>
        <w:jc w:val="both"/>
      </w:pPr>
      <w:r w:rsidRPr="00871721">
        <w:rPr>
          <w:b/>
        </w:rPr>
        <w:t>Período medio de cobro</w:t>
      </w:r>
      <w:r w:rsidRPr="00871721">
        <w:t>: El cálculo de esta razón corresponde a tomar el saldo de las cuentas por cobrar y las cuentas por cobrar a las compañías relacionadas multiplicado por 360 días y dividirlo entre las ventas.  Se interpreta como plazo promedio de recuperación de las cuentas por cobrar expresado en días.</w:t>
      </w:r>
    </w:p>
    <w:p w:rsidR="00E627E7" w:rsidRPr="00871721" w:rsidRDefault="00E627E7" w:rsidP="00E627E7">
      <w:pPr>
        <w:jc w:val="both"/>
      </w:pPr>
    </w:p>
    <w:p w:rsidR="00E627E7" w:rsidRPr="00871721" w:rsidRDefault="00E627E7" w:rsidP="00E627E7">
      <w:pPr>
        <w:jc w:val="both"/>
      </w:pPr>
      <w:r w:rsidRPr="00871721">
        <w:t>En 2023, tuvimos una reducción en días de cobro promedio pasando de 27.9 a 25.5 días.  Lo que se explica porque las cuentas por cobrar disminuyeron -7.6%, pero las ventas aumentaron un 1.1%.</w:t>
      </w:r>
    </w:p>
    <w:p w:rsidR="00E627E7" w:rsidRPr="00871721" w:rsidRDefault="00E627E7" w:rsidP="00E627E7">
      <w:pPr>
        <w:jc w:val="both"/>
      </w:pPr>
    </w:p>
    <w:p w:rsidR="00E627E7" w:rsidRPr="00871721" w:rsidRDefault="00E627E7" w:rsidP="00E627E7">
      <w:pPr>
        <w:jc w:val="both"/>
      </w:pPr>
    </w:p>
    <w:p w:rsidR="00E627E7" w:rsidRPr="00871721" w:rsidRDefault="00E627E7" w:rsidP="00E627E7">
      <w:pPr>
        <w:jc w:val="both"/>
      </w:pPr>
      <w:r w:rsidRPr="00871721">
        <w:rPr>
          <w:b/>
        </w:rPr>
        <w:t>Período medio de pago</w:t>
      </w:r>
      <w:r w:rsidRPr="00871721">
        <w:t>: El cálculo de esta razón corresponde a tomar el saldo de las cuentas por pagar a proveedores y las cuentas por pagar a compañías relacionadas, multiplicarlo por los 360 días y dividirlo entre el costo de ventas.  Se interpreta como la cantidad de días promedio que tarda la Compañía en realizar los pagos a sus proveedores.</w:t>
      </w:r>
    </w:p>
    <w:p w:rsidR="00E627E7" w:rsidRPr="00871721" w:rsidRDefault="00E627E7" w:rsidP="00E627E7">
      <w:pPr>
        <w:jc w:val="both"/>
      </w:pPr>
    </w:p>
    <w:p w:rsidR="00E627E7" w:rsidRPr="00871721" w:rsidRDefault="00E627E7" w:rsidP="00E627E7">
      <w:pPr>
        <w:jc w:val="both"/>
      </w:pPr>
      <w:r w:rsidRPr="00871721">
        <w:t>El período medio de pago aumentó desde 65.6 a 78.5 días, principalmente por la gestión y negociación de plazos con proveedores, ya que las cuentas por pagar incrementaron principalmente por los pasivos en las nuevas operaciones.</w:t>
      </w:r>
    </w:p>
    <w:p w:rsidR="00E627E7" w:rsidRPr="00871721" w:rsidRDefault="00E627E7" w:rsidP="00E627E7"/>
    <w:tbl>
      <w:tblPr>
        <w:tblW w:w="9504" w:type="dxa"/>
        <w:tblInd w:w="-5" w:type="dxa"/>
        <w:tblLayout w:type="fixed"/>
        <w:tblLook w:val="0400" w:firstRow="0" w:lastRow="0" w:firstColumn="0" w:lastColumn="0" w:noHBand="0" w:noVBand="1"/>
      </w:tblPr>
      <w:tblGrid>
        <w:gridCol w:w="6088"/>
        <w:gridCol w:w="1425"/>
        <w:gridCol w:w="1980"/>
        <w:gridCol w:w="11"/>
      </w:tblGrid>
      <w:tr w:rsidR="00E627E7" w:rsidRPr="00871721" w:rsidTr="00E02D6F">
        <w:trPr>
          <w:trHeight w:val="390"/>
        </w:trPr>
        <w:tc>
          <w:tcPr>
            <w:tcW w:w="9504" w:type="dxa"/>
            <w:gridSpan w:val="4"/>
            <w:tcBorders>
              <w:top w:val="nil"/>
              <w:left w:val="single" w:sz="4" w:space="0" w:color="000000"/>
              <w:bottom w:val="single" w:sz="12" w:space="0" w:color="666666"/>
              <w:right w:val="single" w:sz="4" w:space="0" w:color="000000"/>
            </w:tcBorders>
            <w:shd w:val="clear" w:color="auto" w:fill="FFFFFF"/>
          </w:tcPr>
          <w:p w:rsidR="00E627E7" w:rsidRPr="00871721" w:rsidRDefault="00E627E7" w:rsidP="00E02D6F">
            <w:pPr>
              <w:rPr>
                <w:b/>
              </w:rPr>
            </w:pPr>
            <w:bookmarkStart w:id="11" w:name="_26in1rg" w:colFirst="0" w:colLast="0"/>
            <w:bookmarkEnd w:id="11"/>
            <w:r w:rsidRPr="00871721">
              <w:t>ÍNDICES DE ENDEUDAMIENTO Y CAPITALIZACIÓN</w:t>
            </w:r>
          </w:p>
        </w:tc>
      </w:tr>
      <w:tr w:rsidR="00E627E7" w:rsidRPr="00871721" w:rsidTr="00E02D6F">
        <w:trPr>
          <w:gridAfter w:val="1"/>
          <w:wAfter w:w="11" w:type="dxa"/>
          <w:trHeight w:val="330"/>
        </w:trPr>
        <w:tc>
          <w:tcPr>
            <w:tcW w:w="6088" w:type="dxa"/>
            <w:tcBorders>
              <w:top w:val="nil"/>
              <w:left w:val="single" w:sz="4" w:space="0" w:color="000000"/>
              <w:bottom w:val="single" w:sz="4" w:space="0" w:color="666666"/>
              <w:right w:val="single" w:sz="4" w:space="0" w:color="666666"/>
            </w:tcBorders>
            <w:shd w:val="clear" w:color="auto" w:fill="CCCCCC"/>
          </w:tcPr>
          <w:p w:rsidR="00E627E7" w:rsidRPr="00871721" w:rsidRDefault="00E627E7" w:rsidP="00E02D6F"/>
        </w:tc>
        <w:tc>
          <w:tcPr>
            <w:tcW w:w="1425" w:type="dxa"/>
            <w:tcBorders>
              <w:top w:val="nil"/>
              <w:left w:val="nil"/>
              <w:bottom w:val="single" w:sz="4" w:space="0" w:color="666666"/>
              <w:right w:val="single" w:sz="4" w:space="0" w:color="666666"/>
            </w:tcBorders>
            <w:shd w:val="clear" w:color="auto" w:fill="CCCCCC"/>
          </w:tcPr>
          <w:p w:rsidR="00E627E7" w:rsidRPr="00871721" w:rsidRDefault="00E627E7" w:rsidP="00E02D6F">
            <w:pPr>
              <w:jc w:val="center"/>
              <w:rPr>
                <w:b/>
              </w:rPr>
            </w:pPr>
            <w:r w:rsidRPr="00871721">
              <w:rPr>
                <w:b/>
              </w:rPr>
              <w:t>2023</w:t>
            </w:r>
          </w:p>
        </w:tc>
        <w:tc>
          <w:tcPr>
            <w:tcW w:w="1980" w:type="dxa"/>
            <w:tcBorders>
              <w:top w:val="nil"/>
              <w:left w:val="nil"/>
              <w:bottom w:val="single" w:sz="4" w:space="0" w:color="666666"/>
              <w:right w:val="single" w:sz="4" w:space="0" w:color="000000"/>
            </w:tcBorders>
            <w:shd w:val="clear" w:color="auto" w:fill="CCCCCC"/>
          </w:tcPr>
          <w:p w:rsidR="00E627E7" w:rsidRPr="00871721" w:rsidRDefault="00E627E7" w:rsidP="00E02D6F">
            <w:pPr>
              <w:jc w:val="center"/>
              <w:rPr>
                <w:b/>
              </w:rPr>
            </w:pPr>
            <w:r w:rsidRPr="00871721">
              <w:rPr>
                <w:b/>
              </w:rPr>
              <w:t>2022</w:t>
            </w:r>
          </w:p>
        </w:tc>
      </w:tr>
      <w:tr w:rsidR="00E627E7" w:rsidRPr="00871721" w:rsidTr="00E02D6F">
        <w:trPr>
          <w:gridAfter w:val="1"/>
          <w:wAfter w:w="11" w:type="dxa"/>
          <w:trHeight w:val="315"/>
        </w:trPr>
        <w:tc>
          <w:tcPr>
            <w:tcW w:w="6088" w:type="dxa"/>
            <w:tcBorders>
              <w:top w:val="nil"/>
              <w:left w:val="single" w:sz="4" w:space="0" w:color="000000"/>
              <w:bottom w:val="single" w:sz="4" w:space="0" w:color="666666"/>
              <w:right w:val="single" w:sz="4" w:space="0" w:color="666666"/>
            </w:tcBorders>
            <w:shd w:val="clear" w:color="auto" w:fill="auto"/>
          </w:tcPr>
          <w:p w:rsidR="00E627E7" w:rsidRPr="00871721" w:rsidRDefault="00E627E7" w:rsidP="00E02D6F">
            <w:pPr>
              <w:rPr>
                <w:b/>
              </w:rPr>
            </w:pPr>
            <w:r w:rsidRPr="00871721">
              <w:t>Pasivo Total</w:t>
            </w:r>
          </w:p>
        </w:tc>
        <w:tc>
          <w:tcPr>
            <w:tcW w:w="1425" w:type="dxa"/>
            <w:tcBorders>
              <w:top w:val="nil"/>
              <w:left w:val="nil"/>
              <w:bottom w:val="single" w:sz="4" w:space="0" w:color="666666"/>
              <w:right w:val="single" w:sz="4" w:space="0" w:color="666666"/>
            </w:tcBorders>
            <w:shd w:val="clear" w:color="auto" w:fill="auto"/>
          </w:tcPr>
          <w:p w:rsidR="00E627E7" w:rsidRPr="00871721" w:rsidRDefault="00E627E7" w:rsidP="00E02D6F">
            <w:pPr>
              <w:jc w:val="right"/>
            </w:pPr>
            <w:r w:rsidRPr="00871721">
              <w:t>38,176,964</w:t>
            </w:r>
          </w:p>
        </w:tc>
        <w:tc>
          <w:tcPr>
            <w:tcW w:w="1980" w:type="dxa"/>
            <w:tcBorders>
              <w:top w:val="nil"/>
              <w:left w:val="nil"/>
              <w:bottom w:val="single" w:sz="4" w:space="0" w:color="666666"/>
              <w:right w:val="single" w:sz="4" w:space="0" w:color="666666"/>
            </w:tcBorders>
            <w:shd w:val="clear" w:color="auto" w:fill="auto"/>
          </w:tcPr>
          <w:p w:rsidR="00E627E7" w:rsidRPr="00871721" w:rsidRDefault="00E627E7" w:rsidP="00E02D6F">
            <w:pPr>
              <w:jc w:val="right"/>
            </w:pPr>
            <w:r w:rsidRPr="00871721">
              <w:t>33,438,312</w:t>
            </w:r>
          </w:p>
        </w:tc>
      </w:tr>
      <w:tr w:rsidR="00E627E7" w:rsidRPr="00871721" w:rsidTr="00E02D6F">
        <w:trPr>
          <w:gridAfter w:val="1"/>
          <w:wAfter w:w="11" w:type="dxa"/>
          <w:trHeight w:val="315"/>
        </w:trPr>
        <w:tc>
          <w:tcPr>
            <w:tcW w:w="6088" w:type="dxa"/>
            <w:tcBorders>
              <w:top w:val="nil"/>
              <w:left w:val="single" w:sz="4" w:space="0" w:color="000000"/>
              <w:bottom w:val="single" w:sz="4" w:space="0" w:color="666666"/>
              <w:right w:val="single" w:sz="4" w:space="0" w:color="666666"/>
            </w:tcBorders>
            <w:shd w:val="clear" w:color="auto" w:fill="CCCCCC"/>
          </w:tcPr>
          <w:p w:rsidR="00E627E7" w:rsidRPr="00871721" w:rsidRDefault="00E627E7" w:rsidP="00E02D6F">
            <w:pPr>
              <w:rPr>
                <w:b/>
              </w:rPr>
            </w:pPr>
            <w:r w:rsidRPr="00871721">
              <w:t>Patrimonio Neto *</w:t>
            </w:r>
          </w:p>
        </w:tc>
        <w:tc>
          <w:tcPr>
            <w:tcW w:w="1425" w:type="dxa"/>
            <w:tcBorders>
              <w:top w:val="nil"/>
              <w:left w:val="nil"/>
              <w:bottom w:val="single" w:sz="4" w:space="0" w:color="666666"/>
              <w:right w:val="single" w:sz="4" w:space="0" w:color="666666"/>
            </w:tcBorders>
            <w:shd w:val="clear" w:color="auto" w:fill="CCCCCC"/>
          </w:tcPr>
          <w:p w:rsidR="00E627E7" w:rsidRPr="00871721" w:rsidRDefault="00E627E7" w:rsidP="00E02D6F">
            <w:pPr>
              <w:jc w:val="right"/>
            </w:pPr>
            <w:r w:rsidRPr="00871721">
              <w:t>21,264,426</w:t>
            </w:r>
          </w:p>
        </w:tc>
        <w:tc>
          <w:tcPr>
            <w:tcW w:w="1980" w:type="dxa"/>
            <w:tcBorders>
              <w:top w:val="nil"/>
              <w:left w:val="nil"/>
              <w:bottom w:val="single" w:sz="4" w:space="0" w:color="666666"/>
              <w:right w:val="single" w:sz="4" w:space="0" w:color="666666"/>
            </w:tcBorders>
            <w:shd w:val="clear" w:color="auto" w:fill="CCCCCC"/>
          </w:tcPr>
          <w:p w:rsidR="00E627E7" w:rsidRPr="00871721" w:rsidRDefault="00E627E7" w:rsidP="00E02D6F">
            <w:pPr>
              <w:jc w:val="right"/>
            </w:pPr>
            <w:r w:rsidRPr="00871721">
              <w:t>23,585,635</w:t>
            </w:r>
          </w:p>
        </w:tc>
      </w:tr>
      <w:tr w:rsidR="00E627E7" w:rsidRPr="00871721" w:rsidTr="00E02D6F">
        <w:trPr>
          <w:gridAfter w:val="1"/>
          <w:wAfter w:w="11" w:type="dxa"/>
          <w:trHeight w:val="315"/>
        </w:trPr>
        <w:tc>
          <w:tcPr>
            <w:tcW w:w="6088" w:type="dxa"/>
            <w:tcBorders>
              <w:top w:val="nil"/>
              <w:left w:val="single" w:sz="4" w:space="0" w:color="000000"/>
              <w:bottom w:val="single" w:sz="4" w:space="0" w:color="666666"/>
              <w:right w:val="single" w:sz="4" w:space="0" w:color="666666"/>
            </w:tcBorders>
            <w:shd w:val="clear" w:color="auto" w:fill="auto"/>
          </w:tcPr>
          <w:p w:rsidR="00E627E7" w:rsidRPr="00871721" w:rsidRDefault="00E627E7" w:rsidP="00E02D6F">
            <w:pPr>
              <w:rPr>
                <w:b/>
              </w:rPr>
            </w:pPr>
            <w:r w:rsidRPr="00871721">
              <w:t>Relación - (Pasivo Total/Patrimonio Neto) -</w:t>
            </w:r>
          </w:p>
        </w:tc>
        <w:tc>
          <w:tcPr>
            <w:tcW w:w="1425" w:type="dxa"/>
            <w:tcBorders>
              <w:top w:val="nil"/>
              <w:left w:val="nil"/>
              <w:bottom w:val="single" w:sz="4" w:space="0" w:color="666666"/>
              <w:right w:val="single" w:sz="4" w:space="0" w:color="666666"/>
            </w:tcBorders>
            <w:shd w:val="clear" w:color="auto" w:fill="auto"/>
          </w:tcPr>
          <w:p w:rsidR="00E627E7" w:rsidRPr="00871721" w:rsidRDefault="00E627E7" w:rsidP="00E02D6F">
            <w:pPr>
              <w:jc w:val="right"/>
            </w:pPr>
            <w:r w:rsidRPr="00871721">
              <w:t>1.80</w:t>
            </w:r>
          </w:p>
        </w:tc>
        <w:tc>
          <w:tcPr>
            <w:tcW w:w="1980" w:type="dxa"/>
            <w:tcBorders>
              <w:top w:val="nil"/>
              <w:left w:val="nil"/>
              <w:bottom w:val="single" w:sz="4" w:space="0" w:color="666666"/>
              <w:right w:val="single" w:sz="4" w:space="0" w:color="666666"/>
            </w:tcBorders>
            <w:shd w:val="clear" w:color="auto" w:fill="auto"/>
          </w:tcPr>
          <w:p w:rsidR="00E627E7" w:rsidRPr="00871721" w:rsidRDefault="00E627E7" w:rsidP="00E02D6F">
            <w:pPr>
              <w:jc w:val="right"/>
            </w:pPr>
            <w:r w:rsidRPr="00871721">
              <w:t>1.42</w:t>
            </w:r>
          </w:p>
        </w:tc>
      </w:tr>
      <w:tr w:rsidR="00E627E7" w:rsidRPr="00871721" w:rsidTr="00E02D6F">
        <w:trPr>
          <w:gridAfter w:val="1"/>
          <w:wAfter w:w="11" w:type="dxa"/>
          <w:trHeight w:val="255"/>
        </w:trPr>
        <w:tc>
          <w:tcPr>
            <w:tcW w:w="6088" w:type="dxa"/>
            <w:tcBorders>
              <w:top w:val="nil"/>
              <w:left w:val="single" w:sz="4" w:space="0" w:color="000000"/>
              <w:bottom w:val="single" w:sz="4" w:space="0" w:color="666666"/>
              <w:right w:val="single" w:sz="4" w:space="0" w:color="666666"/>
            </w:tcBorders>
            <w:shd w:val="clear" w:color="auto" w:fill="CCCCCC"/>
          </w:tcPr>
          <w:p w:rsidR="00E627E7" w:rsidRPr="00871721" w:rsidRDefault="00E627E7" w:rsidP="00E02D6F"/>
        </w:tc>
        <w:tc>
          <w:tcPr>
            <w:tcW w:w="1425" w:type="dxa"/>
            <w:tcBorders>
              <w:top w:val="nil"/>
              <w:left w:val="nil"/>
              <w:bottom w:val="single" w:sz="4" w:space="0" w:color="666666"/>
              <w:right w:val="single" w:sz="4" w:space="0" w:color="666666"/>
            </w:tcBorders>
            <w:shd w:val="clear" w:color="auto" w:fill="CCCCCC"/>
          </w:tcPr>
          <w:p w:rsidR="00E627E7" w:rsidRPr="00871721" w:rsidRDefault="00E627E7" w:rsidP="00E02D6F">
            <w:pPr>
              <w:jc w:val="right"/>
            </w:pPr>
          </w:p>
        </w:tc>
        <w:tc>
          <w:tcPr>
            <w:tcW w:w="1980" w:type="dxa"/>
            <w:tcBorders>
              <w:top w:val="nil"/>
              <w:left w:val="nil"/>
              <w:bottom w:val="single" w:sz="4" w:space="0" w:color="666666"/>
              <w:right w:val="single" w:sz="4" w:space="0" w:color="666666"/>
            </w:tcBorders>
            <w:shd w:val="clear" w:color="auto" w:fill="CCCCCC"/>
          </w:tcPr>
          <w:p w:rsidR="00E627E7" w:rsidRPr="00871721" w:rsidRDefault="00E627E7" w:rsidP="00E02D6F">
            <w:pPr>
              <w:jc w:val="right"/>
            </w:pPr>
          </w:p>
        </w:tc>
      </w:tr>
      <w:tr w:rsidR="00E627E7" w:rsidRPr="00871721" w:rsidTr="00E02D6F">
        <w:trPr>
          <w:gridAfter w:val="1"/>
          <w:wAfter w:w="11" w:type="dxa"/>
          <w:trHeight w:val="315"/>
        </w:trPr>
        <w:tc>
          <w:tcPr>
            <w:tcW w:w="6088" w:type="dxa"/>
            <w:tcBorders>
              <w:top w:val="nil"/>
              <w:left w:val="single" w:sz="4" w:space="0" w:color="000000"/>
              <w:bottom w:val="single" w:sz="4" w:space="0" w:color="666666"/>
              <w:right w:val="single" w:sz="4" w:space="0" w:color="666666"/>
            </w:tcBorders>
            <w:shd w:val="clear" w:color="auto" w:fill="auto"/>
          </w:tcPr>
          <w:p w:rsidR="00E627E7" w:rsidRPr="00871721" w:rsidRDefault="00E627E7" w:rsidP="00E02D6F">
            <w:pPr>
              <w:rPr>
                <w:b/>
              </w:rPr>
            </w:pPr>
            <w:r w:rsidRPr="00871721">
              <w:t>Pasivo Total</w:t>
            </w:r>
          </w:p>
        </w:tc>
        <w:tc>
          <w:tcPr>
            <w:tcW w:w="1425" w:type="dxa"/>
            <w:tcBorders>
              <w:top w:val="nil"/>
              <w:left w:val="nil"/>
              <w:bottom w:val="single" w:sz="4" w:space="0" w:color="666666"/>
              <w:right w:val="single" w:sz="4" w:space="0" w:color="666666"/>
            </w:tcBorders>
            <w:shd w:val="clear" w:color="auto" w:fill="auto"/>
          </w:tcPr>
          <w:p w:rsidR="00E627E7" w:rsidRPr="00871721" w:rsidRDefault="00E627E7" w:rsidP="00E02D6F">
            <w:pPr>
              <w:jc w:val="right"/>
            </w:pPr>
            <w:r w:rsidRPr="00871721">
              <w:t>38,176,964</w:t>
            </w:r>
          </w:p>
        </w:tc>
        <w:tc>
          <w:tcPr>
            <w:tcW w:w="1980" w:type="dxa"/>
            <w:tcBorders>
              <w:top w:val="nil"/>
              <w:left w:val="nil"/>
              <w:bottom w:val="single" w:sz="4" w:space="0" w:color="666666"/>
              <w:right w:val="single" w:sz="4" w:space="0" w:color="666666"/>
            </w:tcBorders>
            <w:shd w:val="clear" w:color="auto" w:fill="auto"/>
          </w:tcPr>
          <w:p w:rsidR="00E627E7" w:rsidRPr="00871721" w:rsidRDefault="00E627E7" w:rsidP="00E02D6F">
            <w:pPr>
              <w:jc w:val="right"/>
            </w:pPr>
            <w:r w:rsidRPr="00871721">
              <w:t>33,438,312</w:t>
            </w:r>
          </w:p>
        </w:tc>
      </w:tr>
      <w:tr w:rsidR="00E627E7" w:rsidRPr="00871721" w:rsidTr="00E02D6F">
        <w:trPr>
          <w:gridAfter w:val="1"/>
          <w:wAfter w:w="11" w:type="dxa"/>
          <w:trHeight w:val="315"/>
        </w:trPr>
        <w:tc>
          <w:tcPr>
            <w:tcW w:w="6088" w:type="dxa"/>
            <w:tcBorders>
              <w:top w:val="nil"/>
              <w:left w:val="single" w:sz="4" w:space="0" w:color="000000"/>
              <w:bottom w:val="single" w:sz="4" w:space="0" w:color="666666"/>
              <w:right w:val="single" w:sz="4" w:space="0" w:color="666666"/>
            </w:tcBorders>
            <w:shd w:val="clear" w:color="auto" w:fill="CCCCCC"/>
          </w:tcPr>
          <w:p w:rsidR="00E627E7" w:rsidRPr="00871721" w:rsidRDefault="00E627E7" w:rsidP="00E02D6F">
            <w:pPr>
              <w:rPr>
                <w:b/>
              </w:rPr>
            </w:pPr>
            <w:r w:rsidRPr="00871721">
              <w:t>Patrimonio Total</w:t>
            </w:r>
          </w:p>
        </w:tc>
        <w:tc>
          <w:tcPr>
            <w:tcW w:w="1425" w:type="dxa"/>
            <w:tcBorders>
              <w:top w:val="nil"/>
              <w:left w:val="nil"/>
              <w:bottom w:val="single" w:sz="4" w:space="0" w:color="666666"/>
              <w:right w:val="single" w:sz="4" w:space="0" w:color="666666"/>
            </w:tcBorders>
            <w:shd w:val="clear" w:color="auto" w:fill="CCCCCC"/>
          </w:tcPr>
          <w:p w:rsidR="00E627E7" w:rsidRPr="00871721" w:rsidRDefault="00E627E7" w:rsidP="00E02D6F">
            <w:pPr>
              <w:jc w:val="right"/>
            </w:pPr>
            <w:r w:rsidRPr="00871721">
              <w:t>87,404,225</w:t>
            </w:r>
          </w:p>
        </w:tc>
        <w:tc>
          <w:tcPr>
            <w:tcW w:w="1980" w:type="dxa"/>
            <w:tcBorders>
              <w:top w:val="nil"/>
              <w:left w:val="nil"/>
              <w:bottom w:val="single" w:sz="4" w:space="0" w:color="666666"/>
              <w:right w:val="single" w:sz="4" w:space="0" w:color="666666"/>
            </w:tcBorders>
            <w:shd w:val="clear" w:color="auto" w:fill="CCCCCC"/>
          </w:tcPr>
          <w:p w:rsidR="00E627E7" w:rsidRPr="00871721" w:rsidRDefault="00E627E7" w:rsidP="00E02D6F">
            <w:pPr>
              <w:jc w:val="right"/>
            </w:pPr>
            <w:r w:rsidRPr="00871721">
              <w:t>72,502,834</w:t>
            </w:r>
          </w:p>
        </w:tc>
      </w:tr>
      <w:tr w:rsidR="00E627E7" w:rsidRPr="00871721" w:rsidTr="00E02D6F">
        <w:trPr>
          <w:gridAfter w:val="1"/>
          <w:wAfter w:w="11" w:type="dxa"/>
          <w:trHeight w:val="315"/>
        </w:trPr>
        <w:tc>
          <w:tcPr>
            <w:tcW w:w="6088" w:type="dxa"/>
            <w:tcBorders>
              <w:top w:val="nil"/>
              <w:left w:val="single" w:sz="4" w:space="0" w:color="000000"/>
              <w:bottom w:val="single" w:sz="4" w:space="0" w:color="666666"/>
              <w:right w:val="single" w:sz="4" w:space="0" w:color="666666"/>
            </w:tcBorders>
            <w:shd w:val="clear" w:color="auto" w:fill="auto"/>
          </w:tcPr>
          <w:p w:rsidR="00E627E7" w:rsidRPr="00871721" w:rsidRDefault="00E627E7" w:rsidP="00E02D6F">
            <w:pPr>
              <w:rPr>
                <w:b/>
              </w:rPr>
            </w:pPr>
            <w:r w:rsidRPr="00871721">
              <w:t>Relación - (Pasivo Total/Patrimonio Total) -</w:t>
            </w:r>
          </w:p>
        </w:tc>
        <w:tc>
          <w:tcPr>
            <w:tcW w:w="1425" w:type="dxa"/>
            <w:tcBorders>
              <w:top w:val="nil"/>
              <w:left w:val="nil"/>
              <w:bottom w:val="single" w:sz="4" w:space="0" w:color="666666"/>
              <w:right w:val="single" w:sz="4" w:space="0" w:color="666666"/>
            </w:tcBorders>
            <w:shd w:val="clear" w:color="auto" w:fill="auto"/>
          </w:tcPr>
          <w:p w:rsidR="00E627E7" w:rsidRPr="00871721" w:rsidRDefault="00E627E7" w:rsidP="00E02D6F">
            <w:pPr>
              <w:jc w:val="right"/>
            </w:pPr>
            <w:r w:rsidRPr="00871721">
              <w:t>0.44</w:t>
            </w:r>
          </w:p>
        </w:tc>
        <w:tc>
          <w:tcPr>
            <w:tcW w:w="1980" w:type="dxa"/>
            <w:tcBorders>
              <w:top w:val="nil"/>
              <w:left w:val="nil"/>
              <w:bottom w:val="single" w:sz="4" w:space="0" w:color="666666"/>
              <w:right w:val="single" w:sz="4" w:space="0" w:color="666666"/>
            </w:tcBorders>
            <w:shd w:val="clear" w:color="auto" w:fill="auto"/>
          </w:tcPr>
          <w:p w:rsidR="00E627E7" w:rsidRPr="00871721" w:rsidRDefault="00E627E7" w:rsidP="00E02D6F">
            <w:pPr>
              <w:jc w:val="right"/>
            </w:pPr>
            <w:r w:rsidRPr="00871721">
              <w:t>0.46</w:t>
            </w:r>
          </w:p>
        </w:tc>
      </w:tr>
      <w:tr w:rsidR="00E627E7" w:rsidRPr="00871721" w:rsidTr="00E02D6F">
        <w:trPr>
          <w:gridAfter w:val="1"/>
          <w:wAfter w:w="11" w:type="dxa"/>
          <w:trHeight w:val="255"/>
        </w:trPr>
        <w:tc>
          <w:tcPr>
            <w:tcW w:w="6088" w:type="dxa"/>
            <w:tcBorders>
              <w:top w:val="nil"/>
              <w:left w:val="single" w:sz="4" w:space="0" w:color="000000"/>
              <w:bottom w:val="single" w:sz="4" w:space="0" w:color="666666"/>
              <w:right w:val="single" w:sz="4" w:space="0" w:color="666666"/>
            </w:tcBorders>
            <w:shd w:val="clear" w:color="auto" w:fill="CCCCCC"/>
          </w:tcPr>
          <w:p w:rsidR="00E627E7" w:rsidRPr="00871721" w:rsidRDefault="00E627E7" w:rsidP="00E02D6F"/>
        </w:tc>
        <w:tc>
          <w:tcPr>
            <w:tcW w:w="1425" w:type="dxa"/>
            <w:tcBorders>
              <w:top w:val="nil"/>
              <w:left w:val="nil"/>
              <w:bottom w:val="single" w:sz="4" w:space="0" w:color="666666"/>
              <w:right w:val="single" w:sz="4" w:space="0" w:color="666666"/>
            </w:tcBorders>
            <w:shd w:val="clear" w:color="auto" w:fill="CCCCCC"/>
          </w:tcPr>
          <w:p w:rsidR="00E627E7" w:rsidRPr="00871721" w:rsidRDefault="00E627E7" w:rsidP="00E02D6F">
            <w:pPr>
              <w:jc w:val="right"/>
            </w:pPr>
          </w:p>
        </w:tc>
        <w:tc>
          <w:tcPr>
            <w:tcW w:w="1980" w:type="dxa"/>
            <w:tcBorders>
              <w:top w:val="nil"/>
              <w:left w:val="nil"/>
              <w:bottom w:val="single" w:sz="4" w:space="0" w:color="666666"/>
              <w:right w:val="single" w:sz="4" w:space="0" w:color="666666"/>
            </w:tcBorders>
            <w:shd w:val="clear" w:color="auto" w:fill="CCCCCC"/>
          </w:tcPr>
          <w:p w:rsidR="00E627E7" w:rsidRPr="00871721" w:rsidRDefault="00E627E7" w:rsidP="00E02D6F">
            <w:pPr>
              <w:jc w:val="right"/>
            </w:pPr>
          </w:p>
        </w:tc>
      </w:tr>
      <w:tr w:rsidR="00E627E7" w:rsidRPr="00871721" w:rsidTr="00E02D6F">
        <w:trPr>
          <w:gridAfter w:val="1"/>
          <w:wAfter w:w="11" w:type="dxa"/>
          <w:trHeight w:val="315"/>
        </w:trPr>
        <w:tc>
          <w:tcPr>
            <w:tcW w:w="6088" w:type="dxa"/>
            <w:tcBorders>
              <w:top w:val="nil"/>
              <w:left w:val="single" w:sz="4" w:space="0" w:color="000000"/>
              <w:bottom w:val="single" w:sz="4" w:space="0" w:color="666666"/>
              <w:right w:val="single" w:sz="4" w:space="0" w:color="666666"/>
            </w:tcBorders>
            <w:shd w:val="clear" w:color="auto" w:fill="auto"/>
          </w:tcPr>
          <w:p w:rsidR="00E627E7" w:rsidRPr="00871721" w:rsidRDefault="00E627E7" w:rsidP="00E02D6F">
            <w:pPr>
              <w:rPr>
                <w:b/>
              </w:rPr>
            </w:pPr>
            <w:r w:rsidRPr="00871721">
              <w:t>Captación Total</w:t>
            </w:r>
          </w:p>
        </w:tc>
        <w:tc>
          <w:tcPr>
            <w:tcW w:w="1425" w:type="dxa"/>
            <w:tcBorders>
              <w:top w:val="nil"/>
              <w:left w:val="nil"/>
              <w:bottom w:val="single" w:sz="4" w:space="0" w:color="666666"/>
              <w:right w:val="single" w:sz="4" w:space="0" w:color="666666"/>
            </w:tcBorders>
            <w:shd w:val="clear" w:color="auto" w:fill="auto"/>
          </w:tcPr>
          <w:p w:rsidR="00E627E7" w:rsidRPr="00871721" w:rsidRDefault="00E627E7" w:rsidP="00E02D6F">
            <w:pPr>
              <w:jc w:val="right"/>
            </w:pPr>
            <w:r w:rsidRPr="00871721">
              <w:t>0</w:t>
            </w:r>
          </w:p>
        </w:tc>
        <w:tc>
          <w:tcPr>
            <w:tcW w:w="1980" w:type="dxa"/>
            <w:tcBorders>
              <w:top w:val="nil"/>
              <w:left w:val="nil"/>
              <w:bottom w:val="single" w:sz="4" w:space="0" w:color="666666"/>
              <w:right w:val="single" w:sz="4" w:space="0" w:color="666666"/>
            </w:tcBorders>
            <w:shd w:val="clear" w:color="auto" w:fill="auto"/>
          </w:tcPr>
          <w:p w:rsidR="00E627E7" w:rsidRPr="00871721" w:rsidRDefault="00E627E7" w:rsidP="00E02D6F">
            <w:pPr>
              <w:jc w:val="right"/>
            </w:pPr>
            <w:r w:rsidRPr="00871721">
              <w:t>0</w:t>
            </w:r>
          </w:p>
        </w:tc>
      </w:tr>
      <w:tr w:rsidR="00E627E7" w:rsidRPr="00871721" w:rsidTr="00E02D6F">
        <w:trPr>
          <w:gridAfter w:val="1"/>
          <w:wAfter w:w="11" w:type="dxa"/>
          <w:trHeight w:val="315"/>
        </w:trPr>
        <w:tc>
          <w:tcPr>
            <w:tcW w:w="6088" w:type="dxa"/>
            <w:tcBorders>
              <w:top w:val="nil"/>
              <w:left w:val="single" w:sz="4" w:space="0" w:color="000000"/>
              <w:bottom w:val="single" w:sz="4" w:space="0" w:color="666666"/>
              <w:right w:val="single" w:sz="4" w:space="0" w:color="666666"/>
            </w:tcBorders>
            <w:shd w:val="clear" w:color="auto" w:fill="CCCCCC"/>
          </w:tcPr>
          <w:p w:rsidR="00E627E7" w:rsidRPr="00871721" w:rsidRDefault="00E627E7" w:rsidP="00E02D6F">
            <w:pPr>
              <w:rPr>
                <w:b/>
              </w:rPr>
            </w:pPr>
            <w:r w:rsidRPr="00871721">
              <w:t>Pasivo Total</w:t>
            </w:r>
          </w:p>
        </w:tc>
        <w:tc>
          <w:tcPr>
            <w:tcW w:w="1425" w:type="dxa"/>
            <w:tcBorders>
              <w:top w:val="nil"/>
              <w:left w:val="nil"/>
              <w:bottom w:val="single" w:sz="4" w:space="0" w:color="666666"/>
              <w:right w:val="single" w:sz="4" w:space="0" w:color="666666"/>
            </w:tcBorders>
            <w:shd w:val="clear" w:color="auto" w:fill="CCCCCC"/>
          </w:tcPr>
          <w:p w:rsidR="00E627E7" w:rsidRPr="00871721" w:rsidRDefault="00E627E7" w:rsidP="00E02D6F">
            <w:pPr>
              <w:jc w:val="right"/>
            </w:pPr>
            <w:r w:rsidRPr="00871721">
              <w:t>38,176,964</w:t>
            </w:r>
          </w:p>
        </w:tc>
        <w:tc>
          <w:tcPr>
            <w:tcW w:w="1980" w:type="dxa"/>
            <w:tcBorders>
              <w:top w:val="nil"/>
              <w:left w:val="nil"/>
              <w:bottom w:val="single" w:sz="4" w:space="0" w:color="666666"/>
              <w:right w:val="single" w:sz="4" w:space="0" w:color="666666"/>
            </w:tcBorders>
            <w:shd w:val="clear" w:color="auto" w:fill="CCCCCC"/>
          </w:tcPr>
          <w:p w:rsidR="00E627E7" w:rsidRPr="00871721" w:rsidRDefault="00E627E7" w:rsidP="00E02D6F">
            <w:pPr>
              <w:jc w:val="right"/>
            </w:pPr>
            <w:r w:rsidRPr="00871721">
              <w:t>33,438,312</w:t>
            </w:r>
          </w:p>
        </w:tc>
      </w:tr>
      <w:tr w:rsidR="00E627E7" w:rsidRPr="00871721" w:rsidTr="00E02D6F">
        <w:trPr>
          <w:gridAfter w:val="1"/>
          <w:wAfter w:w="11" w:type="dxa"/>
          <w:trHeight w:val="315"/>
        </w:trPr>
        <w:tc>
          <w:tcPr>
            <w:tcW w:w="6088" w:type="dxa"/>
            <w:tcBorders>
              <w:top w:val="nil"/>
              <w:left w:val="single" w:sz="4" w:space="0" w:color="000000"/>
              <w:bottom w:val="single" w:sz="4" w:space="0" w:color="666666"/>
              <w:right w:val="single" w:sz="4" w:space="0" w:color="666666"/>
            </w:tcBorders>
            <w:shd w:val="clear" w:color="auto" w:fill="auto"/>
          </w:tcPr>
          <w:p w:rsidR="00E627E7" w:rsidRPr="00871721" w:rsidRDefault="00E627E7" w:rsidP="00E02D6F">
            <w:pPr>
              <w:rPr>
                <w:b/>
              </w:rPr>
            </w:pPr>
            <w:r w:rsidRPr="00871721">
              <w:t>Relación - (Captación Total/Pasivo Total) -</w:t>
            </w:r>
          </w:p>
        </w:tc>
        <w:tc>
          <w:tcPr>
            <w:tcW w:w="1425" w:type="dxa"/>
            <w:tcBorders>
              <w:top w:val="nil"/>
              <w:left w:val="nil"/>
              <w:bottom w:val="single" w:sz="4" w:space="0" w:color="666666"/>
              <w:right w:val="single" w:sz="4" w:space="0" w:color="666666"/>
            </w:tcBorders>
            <w:shd w:val="clear" w:color="auto" w:fill="auto"/>
          </w:tcPr>
          <w:p w:rsidR="00E627E7" w:rsidRPr="00871721" w:rsidRDefault="00E627E7" w:rsidP="00E02D6F">
            <w:pPr>
              <w:jc w:val="right"/>
            </w:pPr>
            <w:r w:rsidRPr="00871721">
              <w:t xml:space="preserve"> -   </w:t>
            </w:r>
          </w:p>
        </w:tc>
        <w:tc>
          <w:tcPr>
            <w:tcW w:w="1980" w:type="dxa"/>
            <w:tcBorders>
              <w:top w:val="nil"/>
              <w:left w:val="nil"/>
              <w:bottom w:val="single" w:sz="4" w:space="0" w:color="666666"/>
              <w:right w:val="single" w:sz="4" w:space="0" w:color="666666"/>
            </w:tcBorders>
            <w:shd w:val="clear" w:color="auto" w:fill="auto"/>
          </w:tcPr>
          <w:p w:rsidR="00E627E7" w:rsidRPr="00871721" w:rsidRDefault="00E627E7" w:rsidP="00E02D6F">
            <w:pPr>
              <w:jc w:val="right"/>
            </w:pPr>
            <w:r w:rsidRPr="00871721">
              <w:t xml:space="preserve"> -   </w:t>
            </w:r>
          </w:p>
        </w:tc>
      </w:tr>
      <w:tr w:rsidR="00E627E7" w:rsidRPr="00871721" w:rsidTr="00E02D6F">
        <w:trPr>
          <w:gridAfter w:val="1"/>
          <w:wAfter w:w="11" w:type="dxa"/>
          <w:trHeight w:val="255"/>
        </w:trPr>
        <w:tc>
          <w:tcPr>
            <w:tcW w:w="6088" w:type="dxa"/>
            <w:tcBorders>
              <w:top w:val="nil"/>
              <w:left w:val="single" w:sz="4" w:space="0" w:color="000000"/>
              <w:bottom w:val="single" w:sz="4" w:space="0" w:color="666666"/>
              <w:right w:val="single" w:sz="4" w:space="0" w:color="666666"/>
            </w:tcBorders>
            <w:shd w:val="clear" w:color="auto" w:fill="CCCCCC"/>
          </w:tcPr>
          <w:p w:rsidR="00E627E7" w:rsidRPr="00871721" w:rsidRDefault="00E627E7" w:rsidP="00E02D6F"/>
        </w:tc>
        <w:tc>
          <w:tcPr>
            <w:tcW w:w="1425" w:type="dxa"/>
            <w:tcBorders>
              <w:top w:val="nil"/>
              <w:left w:val="nil"/>
              <w:bottom w:val="single" w:sz="4" w:space="0" w:color="666666"/>
              <w:right w:val="single" w:sz="4" w:space="0" w:color="666666"/>
            </w:tcBorders>
            <w:shd w:val="clear" w:color="auto" w:fill="CCCCCC"/>
          </w:tcPr>
          <w:p w:rsidR="00E627E7" w:rsidRPr="00871721" w:rsidRDefault="00E627E7" w:rsidP="00E02D6F"/>
        </w:tc>
        <w:tc>
          <w:tcPr>
            <w:tcW w:w="1980" w:type="dxa"/>
            <w:tcBorders>
              <w:top w:val="nil"/>
              <w:left w:val="nil"/>
              <w:bottom w:val="single" w:sz="4" w:space="0" w:color="666666"/>
              <w:right w:val="single" w:sz="4" w:space="0" w:color="000000"/>
            </w:tcBorders>
            <w:shd w:val="clear" w:color="auto" w:fill="CCCCCC"/>
          </w:tcPr>
          <w:p w:rsidR="00E627E7" w:rsidRPr="00871721" w:rsidRDefault="00E627E7" w:rsidP="00E02D6F"/>
        </w:tc>
      </w:tr>
      <w:tr w:rsidR="00E627E7" w:rsidRPr="00871721" w:rsidTr="00E02D6F">
        <w:trPr>
          <w:trHeight w:val="420"/>
        </w:trPr>
        <w:tc>
          <w:tcPr>
            <w:tcW w:w="9504" w:type="dxa"/>
            <w:gridSpan w:val="4"/>
            <w:tcBorders>
              <w:top w:val="single" w:sz="4" w:space="0" w:color="666666"/>
              <w:left w:val="single" w:sz="4" w:space="0" w:color="000000"/>
              <w:bottom w:val="single" w:sz="4" w:space="0" w:color="666666"/>
              <w:right w:val="single" w:sz="4" w:space="0" w:color="000000"/>
            </w:tcBorders>
            <w:shd w:val="clear" w:color="auto" w:fill="auto"/>
          </w:tcPr>
          <w:p w:rsidR="00E627E7" w:rsidRPr="00871721" w:rsidRDefault="00E627E7" w:rsidP="00E02D6F">
            <w:pPr>
              <w:rPr>
                <w:b/>
              </w:rPr>
            </w:pPr>
            <w:r w:rsidRPr="00871721">
              <w:t>* Calculado según normativa de SUGEVAL para cálculo de apalancamiento</w:t>
            </w:r>
          </w:p>
        </w:tc>
      </w:tr>
    </w:tbl>
    <w:p w:rsidR="00E627E7" w:rsidRPr="00871721" w:rsidRDefault="00E627E7" w:rsidP="00E627E7"/>
    <w:p w:rsidR="00E627E7" w:rsidRPr="00871721" w:rsidRDefault="00E627E7" w:rsidP="00E627E7">
      <w:pPr>
        <w:jc w:val="both"/>
      </w:pPr>
    </w:p>
    <w:p w:rsidR="00E627E7" w:rsidRPr="00871721" w:rsidRDefault="00E627E7" w:rsidP="00E627E7">
      <w:pPr>
        <w:jc w:val="both"/>
      </w:pPr>
      <w:r w:rsidRPr="00871721">
        <w:t>De conformidad con el artículo 116 de la Ley Orgánica del Banco Central de Costa Rica, las empresas de los sectores no financieros que soliciten su registro a la Superintendencia General de Valores no podrán exceder un nivel de endeudamiento total (individual o consolidado) de cuatro veces su capital y reservas de conformidad con la metodología que establezca el Superintendente General de Valores.</w:t>
      </w:r>
    </w:p>
    <w:p w:rsidR="00E627E7" w:rsidRPr="00871721" w:rsidRDefault="00E627E7" w:rsidP="00E627E7">
      <w:pPr>
        <w:jc w:val="both"/>
      </w:pPr>
    </w:p>
    <w:p w:rsidR="00E627E7" w:rsidRPr="00871721" w:rsidRDefault="00E627E7" w:rsidP="00E627E7">
      <w:pPr>
        <w:jc w:val="both"/>
      </w:pPr>
      <w:r w:rsidRPr="00871721">
        <w:rPr>
          <w:b/>
        </w:rPr>
        <w:t xml:space="preserve">Pasivo total a patrimonio neto: </w:t>
      </w:r>
      <w:r w:rsidRPr="00871721">
        <w:t xml:space="preserve">Corresponde a tomar el saldo del pasivo total y dividirlo entre el patrimonio neto (patrimonio total excluyendo las utilidades no distribuidas disponibles e incluyendo las utilidades restringidas).  El resultado se interpreta como la exposición de los acreedores en el caso de una posible insolvencia de la Compañía, una vez excluidas las utilidades disponibles.  </w:t>
      </w:r>
    </w:p>
    <w:p w:rsidR="00E627E7" w:rsidRPr="00871721" w:rsidRDefault="00E627E7" w:rsidP="00E627E7">
      <w:pPr>
        <w:jc w:val="both"/>
      </w:pPr>
    </w:p>
    <w:p w:rsidR="00E627E7" w:rsidRPr="00871721" w:rsidRDefault="00E627E7" w:rsidP="00E627E7">
      <w:pPr>
        <w:jc w:val="both"/>
      </w:pPr>
      <w:proofErr w:type="spellStart"/>
      <w:r w:rsidRPr="00871721">
        <w:t>Holcim</w:t>
      </w:r>
      <w:proofErr w:type="spellEnd"/>
      <w:r w:rsidRPr="00871721">
        <w:t xml:space="preserve"> continúa con una sólida posición patrimonial con bajos niveles de apalancamiento. </w:t>
      </w:r>
    </w:p>
    <w:p w:rsidR="00E627E7" w:rsidRPr="00871721" w:rsidRDefault="00E627E7" w:rsidP="00E627E7">
      <w:pPr>
        <w:jc w:val="both"/>
      </w:pPr>
    </w:p>
    <w:p w:rsidR="00E627E7" w:rsidRPr="00871721" w:rsidRDefault="00E627E7" w:rsidP="00E627E7">
      <w:pPr>
        <w:jc w:val="both"/>
      </w:pPr>
      <w:r w:rsidRPr="00871721">
        <w:rPr>
          <w:b/>
        </w:rPr>
        <w:t xml:space="preserve">Captación a pasivo total: </w:t>
      </w:r>
      <w:r w:rsidRPr="00871721">
        <w:t xml:space="preserve">El cálculo de esta razón corresponde al saldo de deuda colocado entre el pasivo total.  </w:t>
      </w:r>
    </w:p>
    <w:p w:rsidR="00E627E7" w:rsidRPr="00871721" w:rsidRDefault="00E627E7" w:rsidP="00E627E7">
      <w:pPr>
        <w:jc w:val="both"/>
      </w:pPr>
    </w:p>
    <w:p w:rsidR="00E627E7" w:rsidRPr="00871721" w:rsidRDefault="00E627E7" w:rsidP="00E627E7">
      <w:pPr>
        <w:jc w:val="both"/>
      </w:pPr>
      <w:r w:rsidRPr="00871721">
        <w:t>Para el año 2023 se tiene una razón de cero debido a que la empresa no ha emitido deuda pública durante los últimos seis períodos.</w:t>
      </w:r>
    </w:p>
    <w:p w:rsidR="00E627E7" w:rsidRPr="00871721" w:rsidRDefault="00E627E7" w:rsidP="00E627E7">
      <w:pPr>
        <w:jc w:val="both"/>
      </w:pPr>
    </w:p>
    <w:p w:rsidR="00E627E7" w:rsidRPr="00871721" w:rsidRDefault="00E627E7" w:rsidP="00E627E7">
      <w:pPr>
        <w:jc w:val="both"/>
      </w:pPr>
      <w:r w:rsidRPr="00871721">
        <w:t>La capacidad de generación de efectivo de la empresa aunado a una estricta disciplina financiera, ha permitido reducir de forma importante el nivel de apalancamiento de la compañía.</w:t>
      </w:r>
    </w:p>
    <w:p w:rsidR="00E627E7" w:rsidRPr="00871721" w:rsidRDefault="00E627E7" w:rsidP="00E627E7">
      <w:pPr>
        <w:jc w:val="both"/>
      </w:pPr>
    </w:p>
    <w:p w:rsidR="00E627E7" w:rsidRDefault="00E627E7" w:rsidP="00E627E7">
      <w:pPr>
        <w:jc w:val="both"/>
      </w:pPr>
    </w:p>
    <w:p w:rsidR="00E627E7" w:rsidRPr="00871721" w:rsidRDefault="00E627E7" w:rsidP="00E627E7">
      <w:pPr>
        <w:jc w:val="both"/>
      </w:pPr>
    </w:p>
    <w:p w:rsidR="00E627E7" w:rsidRPr="00871721" w:rsidRDefault="00E627E7" w:rsidP="00E627E7">
      <w:pPr>
        <w:rPr>
          <w:sz w:val="18"/>
          <w:szCs w:val="18"/>
        </w:rPr>
      </w:pPr>
      <w:r w:rsidRPr="00871721">
        <w:rPr>
          <w:b/>
          <w:sz w:val="24"/>
          <w:szCs w:val="24"/>
        </w:rPr>
        <w:t>Capitalización</w:t>
      </w:r>
    </w:p>
    <w:p w:rsidR="00E627E7" w:rsidRPr="00871721" w:rsidRDefault="00E627E7" w:rsidP="00E627E7">
      <w:pPr>
        <w:rPr>
          <w:sz w:val="18"/>
          <w:szCs w:val="18"/>
        </w:rPr>
      </w:pPr>
    </w:p>
    <w:p w:rsidR="00E627E7" w:rsidRPr="00871721" w:rsidRDefault="00E627E7" w:rsidP="00E627E7">
      <w:pPr>
        <w:spacing w:before="60" w:after="60"/>
        <w:jc w:val="both"/>
        <w:rPr>
          <w:b/>
        </w:rPr>
      </w:pPr>
      <w:r w:rsidRPr="00871721">
        <w:rPr>
          <w:b/>
        </w:rPr>
        <w:t>Fuente de Capitalización</w:t>
      </w:r>
    </w:p>
    <w:p w:rsidR="00E627E7" w:rsidRDefault="00E627E7" w:rsidP="00E627E7">
      <w:pPr>
        <w:jc w:val="both"/>
      </w:pPr>
    </w:p>
    <w:p w:rsidR="00E627E7" w:rsidRPr="00871721" w:rsidRDefault="00E627E7" w:rsidP="00E627E7">
      <w:pPr>
        <w:jc w:val="both"/>
      </w:pPr>
      <w:r w:rsidRPr="00871721">
        <w:t>La fuente de la capitalización de la compañía se basa en su capacidad de generación de flujo de efectivo, lo que nos hace una compañía auto sostenible.</w:t>
      </w:r>
    </w:p>
    <w:p w:rsidR="00E627E7" w:rsidRPr="00871721" w:rsidRDefault="00E627E7" w:rsidP="00E627E7">
      <w:pPr>
        <w:jc w:val="both"/>
      </w:pPr>
    </w:p>
    <w:p w:rsidR="00E627E7" w:rsidRDefault="00E627E7" w:rsidP="00E627E7">
      <w:pPr>
        <w:jc w:val="both"/>
      </w:pPr>
    </w:p>
    <w:p w:rsidR="00E627E7" w:rsidRPr="00871721" w:rsidRDefault="00E627E7" w:rsidP="00E627E7">
      <w:pPr>
        <w:jc w:val="both"/>
      </w:pPr>
    </w:p>
    <w:p w:rsidR="00E627E7" w:rsidRPr="00871721" w:rsidRDefault="00E627E7" w:rsidP="00E627E7">
      <w:pPr>
        <w:rPr>
          <w:b/>
          <w:sz w:val="24"/>
          <w:szCs w:val="24"/>
        </w:rPr>
      </w:pPr>
      <w:r w:rsidRPr="00871721">
        <w:rPr>
          <w:b/>
          <w:sz w:val="24"/>
          <w:szCs w:val="24"/>
        </w:rPr>
        <w:t>Dividendos</w:t>
      </w:r>
    </w:p>
    <w:p w:rsidR="00E627E7" w:rsidRPr="00871721" w:rsidRDefault="00E627E7" w:rsidP="00E627E7">
      <w:pPr>
        <w:spacing w:before="60" w:after="60"/>
        <w:jc w:val="both"/>
      </w:pPr>
    </w:p>
    <w:p w:rsidR="00E627E7" w:rsidRPr="00871721" w:rsidRDefault="00E627E7" w:rsidP="00E627E7">
      <w:pPr>
        <w:spacing w:before="60" w:after="60"/>
        <w:jc w:val="both"/>
      </w:pPr>
      <w:r w:rsidRPr="00871721">
        <w:t>La distribución de dividendos se analiza en cada asamblea ordinaria, en donde, con base en los resultados operacionales obtenidos, al menos una vez al año, la Junta Directiva propone el dividendo a distribuir con base en la liquidez sostenible, sometiendo a juicio y aprobación por parte los accionistas el pago de los mismos.  Asimismo, en los últimos años, la compañía ha realizado Asambleas Extraordinarias de Accionistas al final de año, en donde se han tomado acuerdos para distribuir utilidades retenidas de períodos anteriores.</w:t>
      </w:r>
    </w:p>
    <w:p w:rsidR="00E627E7" w:rsidRPr="00871721" w:rsidRDefault="00E627E7" w:rsidP="00E627E7">
      <w:pPr>
        <w:spacing w:before="60" w:after="60"/>
        <w:jc w:val="both"/>
      </w:pPr>
    </w:p>
    <w:p w:rsidR="00E627E7" w:rsidRPr="00871721" w:rsidRDefault="00E627E7" w:rsidP="00E627E7">
      <w:pPr>
        <w:spacing w:before="60" w:after="60"/>
        <w:jc w:val="both"/>
      </w:pPr>
      <w:r w:rsidRPr="00871721">
        <w:t>Como referencia se indican los dividendos declarados y pagados durante los tres últimos períodos fiscales en miles de colones:</w:t>
      </w:r>
    </w:p>
    <w:p w:rsidR="00E627E7" w:rsidRPr="00871721" w:rsidRDefault="00E627E7" w:rsidP="00E627E7">
      <w:pPr>
        <w:spacing w:before="60" w:after="60"/>
        <w:jc w:val="center"/>
      </w:pPr>
    </w:p>
    <w:p w:rsidR="00E627E7" w:rsidRPr="00871721" w:rsidRDefault="00E627E7" w:rsidP="00E627E7">
      <w:pPr>
        <w:spacing w:before="60" w:after="60"/>
        <w:ind w:left="3600"/>
      </w:pPr>
      <w:r w:rsidRPr="00871721">
        <w:rPr>
          <w:b/>
        </w:rPr>
        <w:t xml:space="preserve">2020-  </w:t>
      </w:r>
      <w:r w:rsidRPr="00871721">
        <w:t>¢ 22,301,163</w:t>
      </w:r>
    </w:p>
    <w:p w:rsidR="00E627E7" w:rsidRPr="00871721" w:rsidRDefault="00E627E7" w:rsidP="00E627E7">
      <w:pPr>
        <w:spacing w:before="60" w:after="60"/>
        <w:ind w:left="2880" w:firstLine="720"/>
      </w:pPr>
      <w:r w:rsidRPr="00871721">
        <w:rPr>
          <w:b/>
        </w:rPr>
        <w:t>2021</w:t>
      </w:r>
      <w:r w:rsidRPr="00871721">
        <w:t xml:space="preserve"> - ¢ 19,727,953</w:t>
      </w:r>
    </w:p>
    <w:p w:rsidR="00E627E7" w:rsidRPr="00871721" w:rsidRDefault="00E627E7" w:rsidP="00E627E7">
      <w:pPr>
        <w:spacing w:before="60" w:after="60"/>
        <w:ind w:left="2880" w:firstLine="720"/>
      </w:pPr>
      <w:r w:rsidRPr="00871721">
        <w:rPr>
          <w:b/>
        </w:rPr>
        <w:t xml:space="preserve">2022 </w:t>
      </w:r>
      <w:r w:rsidRPr="00871721">
        <w:t>- ¢ 19,727,953</w:t>
      </w:r>
    </w:p>
    <w:p w:rsidR="00E627E7" w:rsidRPr="00871721" w:rsidRDefault="00E627E7" w:rsidP="00E627E7">
      <w:pPr>
        <w:spacing w:before="60" w:after="60"/>
        <w:ind w:left="3600"/>
      </w:pPr>
      <w:r w:rsidRPr="00871721">
        <w:rPr>
          <w:b/>
        </w:rPr>
        <w:t xml:space="preserve">2023 </w:t>
      </w:r>
      <w:r w:rsidRPr="00871721">
        <w:t>- No se decretaron dividendos</w:t>
      </w:r>
    </w:p>
    <w:p w:rsidR="00E627E7" w:rsidRPr="00871721" w:rsidRDefault="00E627E7" w:rsidP="00E627E7">
      <w:pPr>
        <w:spacing w:before="60" w:after="60"/>
      </w:pPr>
    </w:p>
    <w:p w:rsidR="00E627E7" w:rsidRDefault="00E627E7" w:rsidP="00E627E7">
      <w:pPr>
        <w:spacing w:before="60" w:after="60"/>
        <w:rPr>
          <w:b/>
        </w:rPr>
      </w:pPr>
    </w:p>
    <w:p w:rsidR="00E627E7" w:rsidRDefault="00E627E7" w:rsidP="00E627E7">
      <w:pPr>
        <w:spacing w:before="60" w:after="60"/>
        <w:rPr>
          <w:b/>
        </w:rPr>
      </w:pPr>
    </w:p>
    <w:p w:rsidR="00E627E7" w:rsidRPr="00871721" w:rsidRDefault="00E627E7" w:rsidP="00E627E7">
      <w:pPr>
        <w:rPr>
          <w:b/>
          <w:sz w:val="24"/>
          <w:szCs w:val="24"/>
        </w:rPr>
      </w:pPr>
      <w:r w:rsidRPr="00871721">
        <w:rPr>
          <w:b/>
          <w:sz w:val="24"/>
          <w:szCs w:val="24"/>
        </w:rPr>
        <w:t>Composición del capital social</w:t>
      </w:r>
    </w:p>
    <w:p w:rsidR="00E627E7" w:rsidRPr="00871721" w:rsidRDefault="00E627E7" w:rsidP="00E627E7">
      <w:pPr>
        <w:jc w:val="both"/>
      </w:pPr>
    </w:p>
    <w:p w:rsidR="00E627E7" w:rsidRPr="00871721" w:rsidRDefault="00E627E7" w:rsidP="00E627E7">
      <w:pPr>
        <w:jc w:val="both"/>
      </w:pPr>
      <w:r w:rsidRPr="00871721">
        <w:t xml:space="preserve">La siguiente información refleja la composición del Capital Social de </w:t>
      </w:r>
      <w:proofErr w:type="spellStart"/>
      <w:r w:rsidRPr="00871721">
        <w:t>Holcim</w:t>
      </w:r>
      <w:proofErr w:type="spellEnd"/>
      <w:r w:rsidRPr="00871721">
        <w:t xml:space="preserve"> (Costa Rica), S.A. al 31/12/2023:</w:t>
      </w:r>
    </w:p>
    <w:p w:rsidR="00E627E7" w:rsidRPr="00871721" w:rsidRDefault="00E627E7" w:rsidP="00E627E7">
      <w:pPr>
        <w:jc w:val="both"/>
      </w:pPr>
    </w:p>
    <w:p w:rsidR="00E627E7" w:rsidRPr="00871721" w:rsidRDefault="00E627E7" w:rsidP="00E627E7">
      <w:pPr>
        <w:jc w:val="both"/>
      </w:pPr>
      <w:r w:rsidRPr="00871721">
        <w:t>Monto del Capital Social</w:t>
      </w:r>
      <w:r w:rsidRPr="00871721">
        <w:tab/>
      </w:r>
      <w:r w:rsidRPr="00871721">
        <w:tab/>
      </w:r>
      <w:r w:rsidRPr="00871721">
        <w:tab/>
        <w:t>¢8,577,370,731</w:t>
      </w:r>
    </w:p>
    <w:p w:rsidR="00E627E7" w:rsidRPr="00871721" w:rsidRDefault="00E627E7" w:rsidP="00E627E7">
      <w:pPr>
        <w:jc w:val="both"/>
      </w:pPr>
      <w:r w:rsidRPr="00871721">
        <w:t>Capital Preferente</w:t>
      </w:r>
      <w:r w:rsidRPr="00871721">
        <w:tab/>
      </w:r>
      <w:r w:rsidRPr="00871721">
        <w:tab/>
      </w:r>
      <w:r w:rsidRPr="00871721">
        <w:tab/>
      </w:r>
      <w:r w:rsidRPr="00871721">
        <w:tab/>
        <w:t>No hay</w:t>
      </w:r>
    </w:p>
    <w:p w:rsidR="00E627E7" w:rsidRPr="00871721" w:rsidRDefault="00E627E7" w:rsidP="00E627E7">
      <w:pPr>
        <w:jc w:val="both"/>
      </w:pPr>
      <w:r w:rsidRPr="00871721">
        <w:t>Acciones comunes</w:t>
      </w:r>
      <w:r w:rsidRPr="00871721">
        <w:tab/>
      </w:r>
      <w:r w:rsidRPr="00871721">
        <w:tab/>
      </w:r>
      <w:r w:rsidRPr="00871721">
        <w:tab/>
      </w:r>
      <w:r w:rsidRPr="00871721">
        <w:tab/>
        <w:t>8,577,370,731</w:t>
      </w:r>
    </w:p>
    <w:p w:rsidR="00E627E7" w:rsidRPr="00871721" w:rsidRDefault="00E627E7" w:rsidP="00E627E7">
      <w:pPr>
        <w:jc w:val="both"/>
      </w:pPr>
      <w:r w:rsidRPr="00871721">
        <w:t>Participación extranjera</w:t>
      </w:r>
      <w:r w:rsidRPr="00871721">
        <w:tab/>
      </w:r>
      <w:r w:rsidRPr="00871721">
        <w:tab/>
      </w:r>
      <w:r w:rsidRPr="00871721">
        <w:tab/>
        <w:t>6</w:t>
      </w:r>
      <w:r w:rsidR="00D51983">
        <w:t>7</w:t>
      </w:r>
      <w:r w:rsidRPr="00871721">
        <w:t>.</w:t>
      </w:r>
      <w:r w:rsidR="004A61AE">
        <w:t>33</w:t>
      </w:r>
      <w:r w:rsidRPr="00871721">
        <w:t xml:space="preserve">% </w:t>
      </w:r>
    </w:p>
    <w:p w:rsidR="00E627E7" w:rsidRPr="00871721" w:rsidRDefault="00E627E7" w:rsidP="00E627E7">
      <w:pPr>
        <w:jc w:val="both"/>
      </w:pPr>
      <w:r w:rsidRPr="00871721">
        <w:t>Participación nacional</w:t>
      </w:r>
      <w:r w:rsidRPr="00871721">
        <w:tab/>
      </w:r>
      <w:r w:rsidRPr="00871721">
        <w:tab/>
      </w:r>
      <w:r w:rsidRPr="00871721">
        <w:tab/>
      </w:r>
      <w:bookmarkStart w:id="12" w:name="_GoBack"/>
      <w:bookmarkEnd w:id="12"/>
      <w:r w:rsidR="004A61AE" w:rsidRPr="00871721">
        <w:t>3</w:t>
      </w:r>
      <w:r w:rsidR="004A61AE">
        <w:t>2</w:t>
      </w:r>
      <w:r w:rsidRPr="00871721">
        <w:t>.</w:t>
      </w:r>
      <w:r w:rsidR="004A61AE">
        <w:t>67</w:t>
      </w:r>
      <w:r w:rsidRPr="00871721">
        <w:t xml:space="preserve">% </w:t>
      </w:r>
    </w:p>
    <w:p w:rsidR="00E627E7" w:rsidRPr="00871721" w:rsidRDefault="00E627E7" w:rsidP="00E627E7">
      <w:pPr>
        <w:jc w:val="both"/>
      </w:pPr>
      <w:r w:rsidRPr="00871721">
        <w:t>Capital social autorizado</w:t>
      </w:r>
      <w:r w:rsidRPr="00871721">
        <w:tab/>
      </w:r>
      <w:r w:rsidRPr="00871721">
        <w:tab/>
      </w:r>
      <w:r w:rsidRPr="00871721">
        <w:tab/>
        <w:t>¢8,577,370,731</w:t>
      </w:r>
    </w:p>
    <w:p w:rsidR="00E627E7" w:rsidRPr="00871721" w:rsidRDefault="00E627E7" w:rsidP="00E627E7">
      <w:pPr>
        <w:jc w:val="both"/>
      </w:pPr>
      <w:r w:rsidRPr="00871721">
        <w:t>Cantidad de acciones en Tesorería                92,659,771</w:t>
      </w:r>
    </w:p>
    <w:p w:rsidR="00E627E7" w:rsidRPr="00871721" w:rsidRDefault="00E627E7" w:rsidP="00E627E7">
      <w:pPr>
        <w:jc w:val="both"/>
      </w:pPr>
    </w:p>
    <w:p w:rsidR="00E627E7" w:rsidRPr="00871721" w:rsidRDefault="00E627E7" w:rsidP="00E627E7">
      <w:pPr>
        <w:jc w:val="both"/>
      </w:pPr>
    </w:p>
    <w:p w:rsidR="00E627E7" w:rsidRPr="00871721" w:rsidRDefault="00E627E7" w:rsidP="00E627E7">
      <w:pPr>
        <w:rPr>
          <w:b/>
          <w:sz w:val="24"/>
          <w:szCs w:val="24"/>
        </w:rPr>
      </w:pPr>
      <w:bookmarkStart w:id="13" w:name="_lnxbz9" w:colFirst="0" w:colLast="0"/>
      <w:bookmarkEnd w:id="13"/>
      <w:r w:rsidRPr="00871721">
        <w:rPr>
          <w:b/>
          <w:sz w:val="24"/>
          <w:szCs w:val="24"/>
        </w:rPr>
        <w:t>Participación social de directores, personal gerencial y empleados</w:t>
      </w:r>
    </w:p>
    <w:p w:rsidR="00E627E7" w:rsidRPr="00871721" w:rsidRDefault="00E627E7" w:rsidP="00E627E7"/>
    <w:p w:rsidR="00E627E7" w:rsidRPr="00871721" w:rsidRDefault="00E627E7" w:rsidP="00E627E7">
      <w:r w:rsidRPr="00871721">
        <w:t>Ningún empleado o miembro de la Junta Directiva tiene el 10% o más del capital social.</w:t>
      </w:r>
    </w:p>
    <w:p w:rsidR="00E627E7" w:rsidRPr="00871721" w:rsidRDefault="00E627E7" w:rsidP="00E627E7">
      <w:pPr>
        <w:jc w:val="center"/>
      </w:pPr>
      <w:r w:rsidRPr="00871721">
        <w:br w:type="page"/>
      </w:r>
      <w:r w:rsidRPr="00871721">
        <w:rPr>
          <w:b/>
          <w:sz w:val="28"/>
          <w:szCs w:val="28"/>
        </w:rPr>
        <w:t>CAPÍTULO III</w:t>
      </w:r>
    </w:p>
    <w:p w:rsidR="00E627E7" w:rsidRPr="00871721" w:rsidRDefault="00E627E7" w:rsidP="00E627E7">
      <w:pPr>
        <w:jc w:val="both"/>
      </w:pPr>
    </w:p>
    <w:p w:rsidR="00E627E7" w:rsidRPr="00871721" w:rsidRDefault="00E627E7" w:rsidP="00E627E7">
      <w:pPr>
        <w:rPr>
          <w:b/>
          <w:sz w:val="24"/>
          <w:szCs w:val="24"/>
        </w:rPr>
      </w:pPr>
      <w:r w:rsidRPr="00871721">
        <w:rPr>
          <w:b/>
          <w:sz w:val="24"/>
          <w:szCs w:val="24"/>
        </w:rPr>
        <w:t>INFORMACIÓN SOBRE LA EMPRESA EMISORA</w:t>
      </w:r>
    </w:p>
    <w:p w:rsidR="00E627E7" w:rsidRPr="00871721" w:rsidRDefault="00E627E7" w:rsidP="00E627E7">
      <w:pPr>
        <w:jc w:val="both"/>
      </w:pPr>
    </w:p>
    <w:p w:rsidR="00E627E7" w:rsidRPr="00871721" w:rsidRDefault="00E627E7" w:rsidP="00E627E7">
      <w:pPr>
        <w:jc w:val="both"/>
      </w:pPr>
      <w:r w:rsidRPr="00871721">
        <w:t>Razón social:</w:t>
      </w:r>
      <w:r w:rsidRPr="00871721">
        <w:tab/>
      </w:r>
      <w:r w:rsidRPr="00871721">
        <w:tab/>
      </w:r>
      <w:r w:rsidRPr="00871721">
        <w:tab/>
      </w:r>
      <w:r w:rsidRPr="00871721">
        <w:tab/>
      </w:r>
      <w:r w:rsidRPr="00871721">
        <w:tab/>
      </w:r>
      <w:r w:rsidRPr="00871721">
        <w:tab/>
      </w:r>
      <w:proofErr w:type="spellStart"/>
      <w:r w:rsidRPr="00871721">
        <w:t>Holcim</w:t>
      </w:r>
      <w:proofErr w:type="spellEnd"/>
      <w:r w:rsidRPr="00871721">
        <w:t xml:space="preserve"> (Costa Rica), S.A.</w:t>
      </w:r>
    </w:p>
    <w:p w:rsidR="00E627E7" w:rsidRPr="00871721" w:rsidRDefault="00E627E7" w:rsidP="00E627E7">
      <w:pPr>
        <w:jc w:val="both"/>
      </w:pPr>
      <w:r w:rsidRPr="00871721">
        <w:t xml:space="preserve">Jurisdicción: </w:t>
      </w:r>
      <w:r w:rsidRPr="00871721">
        <w:tab/>
      </w:r>
      <w:r w:rsidRPr="00871721">
        <w:tab/>
      </w:r>
      <w:r w:rsidRPr="00871721">
        <w:tab/>
      </w:r>
      <w:r w:rsidRPr="00871721">
        <w:tab/>
      </w:r>
      <w:r w:rsidRPr="00871721">
        <w:tab/>
      </w:r>
      <w:r w:rsidRPr="00871721">
        <w:tab/>
        <w:t>Costa Rica</w:t>
      </w:r>
    </w:p>
    <w:p w:rsidR="00E627E7" w:rsidRPr="00871721" w:rsidRDefault="00E627E7" w:rsidP="00E627E7">
      <w:pPr>
        <w:jc w:val="both"/>
      </w:pPr>
      <w:r w:rsidRPr="00871721">
        <w:t>Citas de inscripción en Registro Público:</w:t>
      </w:r>
      <w:r w:rsidRPr="00871721">
        <w:tab/>
      </w:r>
      <w:r w:rsidRPr="00871721">
        <w:tab/>
        <w:t>Tomo:</w:t>
      </w:r>
      <w:r w:rsidRPr="00871721">
        <w:tab/>
        <w:t>46 - Folio: 552</w:t>
      </w:r>
      <w:r w:rsidRPr="00871721">
        <w:tab/>
        <w:t>- Asiento: 18603</w:t>
      </w:r>
    </w:p>
    <w:p w:rsidR="00E627E7" w:rsidRPr="00871721" w:rsidRDefault="00E627E7" w:rsidP="00E627E7">
      <w:r w:rsidRPr="00871721">
        <w:t>Cédula jurídica:</w:t>
      </w:r>
      <w:r w:rsidRPr="00871721">
        <w:tab/>
      </w:r>
      <w:r w:rsidRPr="00871721">
        <w:tab/>
      </w:r>
      <w:r w:rsidRPr="00871721">
        <w:tab/>
      </w:r>
      <w:r w:rsidRPr="00871721">
        <w:tab/>
      </w:r>
      <w:r w:rsidRPr="00871721">
        <w:tab/>
        <w:t>3-101-006846.</w:t>
      </w:r>
    </w:p>
    <w:p w:rsidR="00E627E7" w:rsidRPr="00871721" w:rsidRDefault="00E627E7" w:rsidP="00E627E7">
      <w:r w:rsidRPr="00871721">
        <w:t>Fecha de constitución:</w:t>
      </w:r>
      <w:r w:rsidRPr="00871721">
        <w:tab/>
      </w:r>
      <w:r w:rsidRPr="00871721">
        <w:tab/>
      </w:r>
      <w:r w:rsidRPr="00871721">
        <w:tab/>
      </w:r>
      <w:r w:rsidRPr="00871721">
        <w:tab/>
        <w:t>25 de mayo de 1960</w:t>
      </w:r>
    </w:p>
    <w:p w:rsidR="00E627E7" w:rsidRPr="00871721" w:rsidRDefault="00E627E7" w:rsidP="00E627E7">
      <w:pPr>
        <w:jc w:val="both"/>
      </w:pPr>
      <w:r w:rsidRPr="00871721">
        <w:t xml:space="preserve">Teléfono / Fax: </w:t>
      </w:r>
      <w:r w:rsidRPr="00871721">
        <w:tab/>
      </w:r>
      <w:r w:rsidRPr="00871721">
        <w:tab/>
      </w:r>
      <w:r w:rsidRPr="00871721">
        <w:tab/>
      </w:r>
      <w:r w:rsidRPr="00871721">
        <w:tab/>
      </w:r>
      <w:r w:rsidRPr="00871721">
        <w:tab/>
        <w:t>2205-3001 / 2205-2735</w:t>
      </w:r>
    </w:p>
    <w:p w:rsidR="00E627E7" w:rsidRPr="00871721" w:rsidRDefault="00E627E7" w:rsidP="00E627E7">
      <w:pPr>
        <w:jc w:val="both"/>
      </w:pPr>
      <w:r w:rsidRPr="00871721">
        <w:t>Apartado:</w:t>
      </w:r>
      <w:r w:rsidRPr="00871721">
        <w:tab/>
      </w:r>
      <w:r w:rsidRPr="00871721">
        <w:tab/>
      </w:r>
      <w:r w:rsidRPr="00871721">
        <w:tab/>
      </w:r>
      <w:r w:rsidRPr="00871721">
        <w:tab/>
      </w:r>
      <w:r w:rsidRPr="00871721">
        <w:tab/>
      </w:r>
      <w:r w:rsidRPr="00871721">
        <w:tab/>
        <w:t>4009-1000 San José, Costa Rica</w:t>
      </w:r>
    </w:p>
    <w:p w:rsidR="00E627E7" w:rsidRPr="00871721" w:rsidRDefault="00E627E7" w:rsidP="00E627E7">
      <w:pPr>
        <w:jc w:val="both"/>
      </w:pPr>
      <w:r w:rsidRPr="00871721">
        <w:t>Correo electrónico:</w:t>
      </w:r>
      <w:r w:rsidRPr="00871721">
        <w:tab/>
      </w:r>
      <w:r w:rsidRPr="00871721">
        <w:tab/>
      </w:r>
      <w:r w:rsidRPr="00871721">
        <w:tab/>
      </w:r>
      <w:r w:rsidRPr="00871721">
        <w:tab/>
      </w:r>
      <w:r w:rsidRPr="00871721">
        <w:tab/>
        <w:t>info.costarica@holcim.com</w:t>
      </w:r>
    </w:p>
    <w:p w:rsidR="00E627E7" w:rsidRPr="00871721" w:rsidRDefault="00E627E7" w:rsidP="00E627E7">
      <w:pPr>
        <w:ind w:left="4950" w:hanging="4950"/>
        <w:jc w:val="both"/>
      </w:pPr>
      <w:r w:rsidRPr="00871721">
        <w:t xml:space="preserve">Dirección: </w:t>
      </w:r>
      <w:r w:rsidRPr="00871721">
        <w:tab/>
      </w:r>
      <w:r w:rsidRPr="00871721">
        <w:tab/>
        <w:t>De la Estación de Bomberos de Pavas 50 metros norte.  Edificio Torre Cordillera.  Piso #8.</w:t>
      </w:r>
    </w:p>
    <w:p w:rsidR="00E627E7" w:rsidRPr="00871721" w:rsidRDefault="00E627E7" w:rsidP="00E627E7">
      <w:pPr>
        <w:jc w:val="both"/>
      </w:pPr>
      <w:proofErr w:type="spellStart"/>
      <w:r w:rsidRPr="00871721">
        <w:t>Website</w:t>
      </w:r>
      <w:proofErr w:type="spellEnd"/>
      <w:r w:rsidRPr="00871721">
        <w:t>:</w:t>
      </w:r>
      <w:r w:rsidRPr="00871721">
        <w:tab/>
      </w:r>
      <w:r w:rsidRPr="00871721">
        <w:tab/>
      </w:r>
      <w:r w:rsidRPr="00871721">
        <w:tab/>
      </w:r>
      <w:r w:rsidRPr="00871721">
        <w:tab/>
      </w:r>
      <w:r w:rsidRPr="00871721">
        <w:tab/>
      </w:r>
      <w:r w:rsidRPr="00871721">
        <w:tab/>
        <w:t>www.holcim.cr</w:t>
      </w:r>
    </w:p>
    <w:p w:rsidR="00E627E7" w:rsidRPr="00871721" w:rsidRDefault="00E627E7" w:rsidP="00E627E7">
      <w:pPr>
        <w:jc w:val="both"/>
      </w:pPr>
    </w:p>
    <w:p w:rsidR="00E627E7" w:rsidRPr="00871721" w:rsidRDefault="00E627E7" w:rsidP="00E627E7">
      <w:pPr>
        <w:jc w:val="both"/>
        <w:rPr>
          <w:b/>
        </w:rPr>
      </w:pPr>
      <w:r w:rsidRPr="00871721">
        <w:rPr>
          <w:b/>
        </w:rPr>
        <w:t>Actividad principal</w:t>
      </w:r>
    </w:p>
    <w:p w:rsidR="00E627E7" w:rsidRPr="00871721" w:rsidRDefault="00E627E7" w:rsidP="00E627E7">
      <w:pPr>
        <w:jc w:val="both"/>
        <w:rPr>
          <w:b/>
        </w:rPr>
      </w:pPr>
    </w:p>
    <w:p w:rsidR="00E627E7" w:rsidRPr="00871721" w:rsidRDefault="00E627E7" w:rsidP="00E627E7">
      <w:pPr>
        <w:jc w:val="both"/>
      </w:pPr>
      <w:proofErr w:type="spellStart"/>
      <w:r w:rsidRPr="00871721">
        <w:t>Holcim</w:t>
      </w:r>
      <w:proofErr w:type="spellEnd"/>
      <w:r w:rsidRPr="00871721">
        <w:t xml:space="preserve"> (Costa Rica), S.A., se dedica a la producción y comercialización de cemento y Clinker.  </w:t>
      </w:r>
    </w:p>
    <w:p w:rsidR="00E627E7" w:rsidRPr="00871721" w:rsidRDefault="00E627E7" w:rsidP="00E627E7">
      <w:pPr>
        <w:jc w:val="both"/>
      </w:pPr>
    </w:p>
    <w:p w:rsidR="00E627E7" w:rsidRPr="00871721" w:rsidRDefault="00E627E7" w:rsidP="00E627E7">
      <w:pPr>
        <w:jc w:val="both"/>
        <w:rPr>
          <w:i/>
        </w:rPr>
      </w:pPr>
      <w:r w:rsidRPr="00871721">
        <w:t>A partir del 05/04/2021, la Compañía modificó su objeto principal: “</w:t>
      </w:r>
      <w:r w:rsidRPr="00871721">
        <w:rPr>
          <w:i/>
        </w:rPr>
        <w:t xml:space="preserve">la fabricación y comercialización de cemento de todas clases, el ejercicio del comercio y la industria en general. En cumplimiento y desarrollo de su objeto la sociedad podrá: a) Explotar yacimientos de aquellas sustancias que entren en la composición del cemento; b) Adquirir en el país o en el exterior los bienes muebles e inmuebles que requieran sus actividades; c) Abrir y administrar establecimientos industriales y comerciales que para su giro fueren necesarios, así como autorizar a socios o terceros para que lo hagan; d) Enajenar o arrendar los bienes sociales, conforme lo requieran los intereses de la sociedad; e) Contraer préstamos y todo género de obligaciones, gravar con prenda e hipoteca, según el caso alguno o todos los bienes sociales, y aún darlos en pago cuando sea conveniente y proceda conforme a la ley; f) Participar en otras empresas o sociedades, suscribir acciones o cuotas de otras sociedades, así como también enajenarlas; g) Otorgar fianzas cuando tenga interés en ello, debiendo devengar una comisión por el servicio; h) Emitir títulos de crédito nominal o al portador en moneda nacional para ser colocados dentro o fuera del país, con o sin garantías de sus activos; í) Realizar toda clase de Actos o Contratos Civiles y comerciales lícitos; j) Llevar a cabo todos los actos complementarios y accesorios que fueren necesarios para la realización del Objeto Social, sin más limitación que la que le impongan las Leyes y sus compromisos; k) Actuar como fiduciario, fideicomitente o fideicomisario y recibir bienes en propiedad fiduciaria; l) Creación de franquicias de transformación bajo la marca </w:t>
      </w:r>
      <w:proofErr w:type="spellStart"/>
      <w:r w:rsidRPr="00871721">
        <w:rPr>
          <w:i/>
        </w:rPr>
        <w:t>Disensa</w:t>
      </w:r>
      <w:proofErr w:type="spellEnd"/>
      <w:r w:rsidRPr="00871721">
        <w:rPr>
          <w:i/>
        </w:rPr>
        <w:t>”.</w:t>
      </w:r>
      <w:r w:rsidRPr="00871721">
        <w:t xml:space="preserve"> </w:t>
      </w:r>
      <w:r w:rsidRPr="00871721">
        <w:rPr>
          <w:i/>
        </w:rPr>
        <w:t xml:space="preserve"> </w:t>
      </w:r>
      <w:r w:rsidRPr="00871721">
        <w:t>Dicha modificación fue aprobada en la Asamblea General Ordinaria y Extraordinaria de Accionistas de fecha 01/12/2020.</w:t>
      </w:r>
    </w:p>
    <w:p w:rsidR="00E627E7" w:rsidRPr="00871721" w:rsidRDefault="00E627E7" w:rsidP="00E627E7">
      <w:pPr>
        <w:jc w:val="both"/>
        <w:rPr>
          <w:b/>
        </w:rPr>
      </w:pPr>
    </w:p>
    <w:p w:rsidR="00E627E7" w:rsidRPr="00871721" w:rsidRDefault="00E627E7" w:rsidP="00E627E7">
      <w:pPr>
        <w:jc w:val="both"/>
      </w:pPr>
    </w:p>
    <w:p w:rsidR="00E627E7" w:rsidRPr="00871721" w:rsidRDefault="00E627E7" w:rsidP="00E627E7">
      <w:pPr>
        <w:jc w:val="both"/>
      </w:pPr>
      <w:r w:rsidRPr="00871721">
        <w:t xml:space="preserve">El 27/03/2003, la Compañía había cambiado su razón social de Industria Nacional de Cemento, S.A. a </w:t>
      </w:r>
      <w:proofErr w:type="spellStart"/>
      <w:r w:rsidRPr="00871721">
        <w:t>Holcim</w:t>
      </w:r>
      <w:proofErr w:type="spellEnd"/>
      <w:r w:rsidRPr="00871721">
        <w:t xml:space="preserve"> (Costa Rica), S.A.  Dicho cambio fue aprobado en la Asamblea de Accionistas de fecha 09/01/2003. Posteriormente, con el fin de enfocarse en su negocio principal, </w:t>
      </w:r>
      <w:proofErr w:type="spellStart"/>
      <w:r w:rsidRPr="00871721">
        <w:t>Holcim</w:t>
      </w:r>
      <w:proofErr w:type="spellEnd"/>
      <w:r w:rsidRPr="00871721">
        <w:t xml:space="preserve"> Costa Rica decidió vender los activos correspondientes a los negocios de Concreto Premezclado y de Agregados, esto en septiembre del 2016.</w:t>
      </w:r>
    </w:p>
    <w:p w:rsidR="00E627E7" w:rsidRPr="00871721" w:rsidRDefault="00E627E7" w:rsidP="00E627E7">
      <w:pPr>
        <w:jc w:val="both"/>
      </w:pPr>
    </w:p>
    <w:p w:rsidR="00E627E7" w:rsidRPr="00871721" w:rsidRDefault="00E627E7" w:rsidP="00E627E7">
      <w:pPr>
        <w:jc w:val="both"/>
      </w:pPr>
      <w:r w:rsidRPr="00871721">
        <w:t xml:space="preserve">En Julio de 2021, </w:t>
      </w:r>
      <w:proofErr w:type="spellStart"/>
      <w:r w:rsidRPr="00871721">
        <w:t>Holcim</w:t>
      </w:r>
      <w:proofErr w:type="spellEnd"/>
      <w:r w:rsidRPr="00871721">
        <w:t xml:space="preserve"> recibe la autorización/aprobación de COPROCOM para adquirir el 51% de Agregados Guápiles S.A. y </w:t>
      </w:r>
      <w:proofErr w:type="spellStart"/>
      <w:r w:rsidRPr="00871721">
        <w:t>Concretera</w:t>
      </w:r>
      <w:proofErr w:type="spellEnd"/>
      <w:r w:rsidRPr="00871721">
        <w:t xml:space="preserve"> Nacional S.A. </w:t>
      </w:r>
    </w:p>
    <w:p w:rsidR="00E627E7" w:rsidRPr="00871721" w:rsidRDefault="00E627E7" w:rsidP="00E627E7">
      <w:pPr>
        <w:jc w:val="both"/>
      </w:pPr>
    </w:p>
    <w:p w:rsidR="00E627E7" w:rsidRPr="00871721" w:rsidRDefault="00E627E7" w:rsidP="00E627E7">
      <w:pPr>
        <w:jc w:val="both"/>
      </w:pPr>
      <w:r w:rsidRPr="00871721">
        <w:t xml:space="preserve">En noviembre 2022, </w:t>
      </w:r>
      <w:proofErr w:type="spellStart"/>
      <w:r w:rsidRPr="00871721">
        <w:t>Holcim</w:t>
      </w:r>
      <w:proofErr w:type="spellEnd"/>
      <w:r w:rsidRPr="00871721">
        <w:t xml:space="preserve"> recibe la autorización para adquirir TDC (prefabricado ligero) y posteriormente en enero 2023, recibe la autorización para adquirir el establecimiento mercantil de prefabricado pesado, de parte de COPROCOM, para posicionarse de nuevo, como un jugador activo de la industria del prefabricado.</w:t>
      </w:r>
    </w:p>
    <w:p w:rsidR="00E627E7" w:rsidRPr="00871721" w:rsidRDefault="00E627E7" w:rsidP="00E627E7">
      <w:pPr>
        <w:jc w:val="both"/>
      </w:pPr>
    </w:p>
    <w:p w:rsidR="00E627E7" w:rsidRPr="00871721" w:rsidRDefault="00E627E7" w:rsidP="00E627E7">
      <w:pPr>
        <w:jc w:val="both"/>
      </w:pPr>
      <w:r w:rsidRPr="00871721">
        <w:t xml:space="preserve">Estas transacciones hacen parte de la estrategia de </w:t>
      </w:r>
      <w:proofErr w:type="spellStart"/>
      <w:r w:rsidRPr="00871721">
        <w:t>Holcim</w:t>
      </w:r>
      <w:proofErr w:type="spellEnd"/>
      <w:r w:rsidRPr="00871721">
        <w:t xml:space="preserve"> Costa Rica para diversificar el portafolio con soluciones constructivas ágiles, limpias y eficientes, en el diseño y producción de sistemas y soluciones de prefabricados premezclados.</w:t>
      </w:r>
    </w:p>
    <w:p w:rsidR="00E627E7" w:rsidRPr="00871721" w:rsidRDefault="00E627E7" w:rsidP="00E627E7">
      <w:pPr>
        <w:jc w:val="both"/>
      </w:pPr>
    </w:p>
    <w:p w:rsidR="00E627E7" w:rsidRPr="00871721" w:rsidRDefault="00E627E7" w:rsidP="00E627E7">
      <w:pPr>
        <w:jc w:val="both"/>
      </w:pPr>
    </w:p>
    <w:p w:rsidR="00E627E7" w:rsidRPr="00871721" w:rsidRDefault="00E627E7" w:rsidP="00E627E7">
      <w:pPr>
        <w:jc w:val="both"/>
      </w:pPr>
    </w:p>
    <w:p w:rsidR="00E627E7" w:rsidRPr="00871721" w:rsidRDefault="00E627E7" w:rsidP="00E627E7">
      <w:pPr>
        <w:rPr>
          <w:b/>
        </w:rPr>
      </w:pPr>
      <w:r w:rsidRPr="00871721">
        <w:rPr>
          <w:b/>
        </w:rPr>
        <w:t>Productos</w:t>
      </w:r>
    </w:p>
    <w:p w:rsidR="00E627E7" w:rsidRPr="00871721" w:rsidRDefault="00E627E7" w:rsidP="00E627E7">
      <w:pPr>
        <w:jc w:val="both"/>
        <w:rPr>
          <w:b/>
        </w:rPr>
      </w:pPr>
    </w:p>
    <w:p w:rsidR="00E627E7" w:rsidRPr="00871721" w:rsidRDefault="00E627E7" w:rsidP="00E627E7">
      <w:pPr>
        <w:numPr>
          <w:ilvl w:val="0"/>
          <w:numId w:val="11"/>
        </w:numPr>
        <w:jc w:val="both"/>
      </w:pPr>
      <w:r w:rsidRPr="00871721">
        <w:rPr>
          <w:b/>
        </w:rPr>
        <w:t>Cemento:</w:t>
      </w:r>
      <w:r w:rsidRPr="00871721">
        <w:t xml:space="preserve"> La empresa pone a disposición del público los siguientes 4 cementos adecuados para cada una de las necesidades del sector: la familia de cemento </w:t>
      </w:r>
      <w:proofErr w:type="spellStart"/>
      <w:r w:rsidRPr="00871721">
        <w:t>ECOPlanet</w:t>
      </w:r>
      <w:proofErr w:type="spellEnd"/>
      <w:r w:rsidRPr="00871721">
        <w:t xml:space="preserve">: </w:t>
      </w:r>
      <w:proofErr w:type="spellStart"/>
      <w:r w:rsidRPr="00871721">
        <w:t>Multibase</w:t>
      </w:r>
      <w:proofErr w:type="spellEnd"/>
      <w:r w:rsidRPr="00871721">
        <w:t xml:space="preserve"> y Fuerte, que poseen hasta un 45% de reducción de CO</w:t>
      </w:r>
      <w:r w:rsidRPr="00871721">
        <w:rPr>
          <w:vertAlign w:val="subscript"/>
        </w:rPr>
        <w:t>2</w:t>
      </w:r>
      <w:r w:rsidRPr="00871721">
        <w:t>. Adicional</w:t>
      </w:r>
      <w:r>
        <w:t xml:space="preserve">mente, los cementos Industrial y </w:t>
      </w:r>
      <w:r w:rsidRPr="00871721">
        <w:t xml:space="preserve">Rápido.  </w:t>
      </w:r>
    </w:p>
    <w:p w:rsidR="00E627E7" w:rsidRPr="00871721" w:rsidRDefault="00E627E7" w:rsidP="00E627E7">
      <w:pPr>
        <w:jc w:val="both"/>
      </w:pPr>
    </w:p>
    <w:p w:rsidR="00E627E7" w:rsidRPr="00871721" w:rsidRDefault="00E627E7" w:rsidP="00E627E7">
      <w:pPr>
        <w:numPr>
          <w:ilvl w:val="0"/>
          <w:numId w:val="11"/>
        </w:numPr>
        <w:jc w:val="both"/>
      </w:pPr>
      <w:r w:rsidRPr="00871721">
        <w:rPr>
          <w:b/>
        </w:rPr>
        <w:t>Concreto:</w:t>
      </w:r>
      <w:r w:rsidRPr="00871721">
        <w:t xml:space="preserve"> nuestro concreto, </w:t>
      </w:r>
      <w:proofErr w:type="spellStart"/>
      <w:r w:rsidRPr="00871721">
        <w:t>ECOPact</w:t>
      </w:r>
      <w:proofErr w:type="spellEnd"/>
      <w:r w:rsidRPr="00871721">
        <w:t>, es el primero en el país en ofrecer una reducción de CO</w:t>
      </w:r>
      <w:r w:rsidRPr="00871721">
        <w:rPr>
          <w:vertAlign w:val="subscript"/>
        </w:rPr>
        <w:t>2</w:t>
      </w:r>
      <w:r w:rsidRPr="00871721">
        <w:t xml:space="preserve"> del 30%. Su formulación ofrece la misma calidad, resistencia y maniobrabilidad, ofreciendo el criterio de sostenibilidad como diferenciador. </w:t>
      </w:r>
    </w:p>
    <w:p w:rsidR="00E627E7" w:rsidRPr="00871721" w:rsidRDefault="00E627E7" w:rsidP="00E627E7">
      <w:pPr>
        <w:jc w:val="both"/>
      </w:pPr>
    </w:p>
    <w:p w:rsidR="00E627E7" w:rsidRPr="00871721" w:rsidRDefault="00E627E7" w:rsidP="00E627E7">
      <w:pPr>
        <w:numPr>
          <w:ilvl w:val="0"/>
          <w:numId w:val="11"/>
        </w:numPr>
        <w:jc w:val="both"/>
      </w:pPr>
      <w:r w:rsidRPr="00871721">
        <w:rPr>
          <w:b/>
        </w:rPr>
        <w:t>Prefabricado:</w:t>
      </w:r>
      <w:r w:rsidRPr="00871721">
        <w:t xml:space="preserve"> </w:t>
      </w:r>
      <w:proofErr w:type="spellStart"/>
      <w:r w:rsidRPr="00871721">
        <w:t>Holcim</w:t>
      </w:r>
      <w:proofErr w:type="spellEnd"/>
      <w:r w:rsidRPr="00871721">
        <w:t xml:space="preserve"> Modular </w:t>
      </w:r>
      <w:proofErr w:type="spellStart"/>
      <w:r w:rsidRPr="00871721">
        <w:t>Solutions</w:t>
      </w:r>
      <w:proofErr w:type="spellEnd"/>
      <w:r w:rsidRPr="00871721">
        <w:t xml:space="preserve"> ofrece una amplia gama de soluciones, desde grandes estructuras para la industria, bloques para muros y cubiertas, losas, productos para el sector residencial, tuberías, hasta soluciones de construcción civil para infraestructuras como puentes, muelles, entre otros</w:t>
      </w:r>
    </w:p>
    <w:p w:rsidR="00E627E7" w:rsidRPr="00871721" w:rsidRDefault="00E627E7" w:rsidP="00E627E7">
      <w:pPr>
        <w:jc w:val="both"/>
      </w:pPr>
    </w:p>
    <w:p w:rsidR="00E627E7" w:rsidRPr="00871721" w:rsidRDefault="00E627E7" w:rsidP="00E627E7">
      <w:pPr>
        <w:jc w:val="both"/>
        <w:rPr>
          <w:b/>
        </w:rPr>
      </w:pPr>
    </w:p>
    <w:p w:rsidR="00E627E7" w:rsidRPr="00871721" w:rsidRDefault="00E627E7" w:rsidP="00E627E7">
      <w:pPr>
        <w:jc w:val="both"/>
        <w:rPr>
          <w:b/>
        </w:rPr>
      </w:pPr>
      <w:r w:rsidRPr="00871721">
        <w:rPr>
          <w:b/>
        </w:rPr>
        <w:t>Infraestructura de producción</w:t>
      </w:r>
    </w:p>
    <w:p w:rsidR="00E627E7" w:rsidRPr="00871721" w:rsidRDefault="00E627E7" w:rsidP="00E627E7">
      <w:pPr>
        <w:jc w:val="both"/>
      </w:pPr>
    </w:p>
    <w:p w:rsidR="00E627E7" w:rsidRPr="00871721" w:rsidRDefault="00E627E7" w:rsidP="00E627E7">
      <w:pPr>
        <w:jc w:val="both"/>
      </w:pPr>
      <w:r w:rsidRPr="00871721">
        <w:t>La planta de cemento está ubicada en Agua Caliente de Cartago, 5 kilómetros al sur de los Tribunales de Justicia y tiene un área total de 84 mil metros cuadrados.  Al cierre de 2022 la planta cuenta con una capacidad instalada de 1,116,000 toneladas/año de cemento.  Las reservas de materias primas se encuentran localizadas en Agua Caliente de Cartago, Azul de Turrialba y Llano Grande de Cartago.  En marzo del 2017 las operaciones financiero-administrativas fueron trasladadas a Pavas, San José.</w:t>
      </w:r>
    </w:p>
    <w:p w:rsidR="00E627E7" w:rsidRPr="00871721" w:rsidRDefault="00E627E7" w:rsidP="00E627E7">
      <w:pPr>
        <w:jc w:val="both"/>
      </w:pPr>
    </w:p>
    <w:p w:rsidR="00E627E7" w:rsidRPr="00871721" w:rsidRDefault="00E627E7" w:rsidP="00E627E7">
      <w:pPr>
        <w:jc w:val="both"/>
      </w:pPr>
      <w:r w:rsidRPr="00871721">
        <w:t>Por otra parte, nuestra actividad de fabricación de prefabricado se ubica en dos plantas: la primera de ellas en San Rafael de Alajuela, con una capacidad de producción de 140.000 toneladas/año de elementos prefabricados en concreto.  Nuestra segunda planta de prefabricados está ubicada en Guápiles y posee una capacidad de producción de 36,000 toneladas/año</w:t>
      </w:r>
    </w:p>
    <w:p w:rsidR="00E627E7" w:rsidRPr="00871721" w:rsidRDefault="00E627E7" w:rsidP="00E627E7">
      <w:pPr>
        <w:jc w:val="both"/>
      </w:pPr>
    </w:p>
    <w:p w:rsidR="00E627E7" w:rsidRPr="00871721" w:rsidRDefault="00E627E7" w:rsidP="00E627E7">
      <w:pPr>
        <w:jc w:val="both"/>
      </w:pPr>
      <w:r w:rsidRPr="00871721">
        <w:t xml:space="preserve">Poseemos además una operación de concreto, con una planta, que se ubica en </w:t>
      </w:r>
      <w:proofErr w:type="spellStart"/>
      <w:r w:rsidRPr="00871721">
        <w:t>Holcim</w:t>
      </w:r>
      <w:proofErr w:type="spellEnd"/>
      <w:r w:rsidRPr="00871721">
        <w:t xml:space="preserve"> Modular </w:t>
      </w:r>
      <w:proofErr w:type="spellStart"/>
      <w:r w:rsidRPr="00871721">
        <w:t>Solutions</w:t>
      </w:r>
      <w:proofErr w:type="spellEnd"/>
      <w:r w:rsidRPr="00871721">
        <w:t>, San Rafael de Alajuela, y posee una capacidad de producción de 13,200 m</w:t>
      </w:r>
      <w:r w:rsidRPr="00871721">
        <w:rPr>
          <w:vertAlign w:val="superscript"/>
        </w:rPr>
        <w:t>3</w:t>
      </w:r>
      <w:r w:rsidRPr="00871721">
        <w:t xml:space="preserve"> al año, con la expectativa de incrementar con la incorporación de nuevas plantas en 2024.</w:t>
      </w:r>
    </w:p>
    <w:p w:rsidR="00E627E7" w:rsidRPr="00871721" w:rsidRDefault="00E627E7" w:rsidP="00E627E7">
      <w:pPr>
        <w:jc w:val="both"/>
      </w:pPr>
    </w:p>
    <w:p w:rsidR="00E627E7" w:rsidRPr="00871721" w:rsidRDefault="00E627E7" w:rsidP="00E627E7">
      <w:pPr>
        <w:jc w:val="both"/>
        <w:rPr>
          <w:b/>
          <w:color w:val="FF0000"/>
        </w:rPr>
      </w:pPr>
      <w:r w:rsidRPr="00871721">
        <w:rPr>
          <w:b/>
        </w:rPr>
        <w:t>Actividad cementera</w:t>
      </w:r>
    </w:p>
    <w:p w:rsidR="00E627E7" w:rsidRPr="00871721" w:rsidRDefault="00E627E7" w:rsidP="00E627E7">
      <w:pPr>
        <w:jc w:val="both"/>
      </w:pPr>
    </w:p>
    <w:p w:rsidR="00E627E7" w:rsidRPr="00871721" w:rsidRDefault="00E627E7" w:rsidP="00E627E7">
      <w:pPr>
        <w:jc w:val="both"/>
      </w:pPr>
      <w:r w:rsidRPr="00871721">
        <w:t xml:space="preserve">Dentro del mercado nacional de cemento, </w:t>
      </w:r>
      <w:proofErr w:type="spellStart"/>
      <w:r w:rsidRPr="00871721">
        <w:t>Holcim</w:t>
      </w:r>
      <w:proofErr w:type="spellEnd"/>
      <w:r w:rsidRPr="00871721">
        <w:t xml:space="preserve"> (Costa Rica), S.A., tiene 60 años de operar, siendo la compañía con mayor trayectoria en el país. Hoy día, se cuenta con dos canteras de caliza, una en Agua Caliente de Cartago y la otra en Azul de Turrialba.  En la cantera ubicada en Agua Caliente de Cartago, conocida como La Chilena, existen dos concesiones debidamente otorgadas por la Dirección General de Geología y Minas en el año 1974, que se encuentran reguladas bajo los expedientes números 245 y 257. El plazo de explotación otorgado es de 99 años, por lo que ambas concesiones vencen en el año 2073; garantizando una vida útil de más de 50 años. La compañía posee además una concesión de respaldo en Azul de Turrialba, la cual está en constante evaluación. </w:t>
      </w:r>
    </w:p>
    <w:p w:rsidR="00E627E7" w:rsidRPr="00871721" w:rsidRDefault="00E627E7" w:rsidP="00E627E7">
      <w:pPr>
        <w:jc w:val="both"/>
      </w:pPr>
    </w:p>
    <w:p w:rsidR="00E627E7" w:rsidRPr="00871721" w:rsidRDefault="00E627E7" w:rsidP="00E627E7">
      <w:pPr>
        <w:jc w:val="both"/>
      </w:pPr>
      <w:r w:rsidRPr="00871721">
        <w:t xml:space="preserve">De las ventas totales de cemento para el año 2023, un 93% de ellas se destinaron al mercado nacional, y el restante 7% fue de exportación. En cuanto a los canales de distribución los principales son: distribuidores, industriales y </w:t>
      </w:r>
      <w:proofErr w:type="spellStart"/>
      <w:r w:rsidRPr="00871721">
        <w:t>concreteras</w:t>
      </w:r>
      <w:proofErr w:type="spellEnd"/>
      <w:r w:rsidRPr="00871721">
        <w:t>.</w:t>
      </w:r>
    </w:p>
    <w:p w:rsidR="00E627E7" w:rsidRPr="00871721" w:rsidRDefault="00E627E7" w:rsidP="00E627E7">
      <w:pPr>
        <w:jc w:val="both"/>
      </w:pPr>
    </w:p>
    <w:p w:rsidR="00E627E7" w:rsidRPr="00871721" w:rsidRDefault="00E627E7" w:rsidP="00E627E7">
      <w:pPr>
        <w:jc w:val="both"/>
      </w:pPr>
    </w:p>
    <w:p w:rsidR="00E627E7" w:rsidRPr="00871721" w:rsidRDefault="00E627E7" w:rsidP="00E627E7">
      <w:pPr>
        <w:jc w:val="both"/>
        <w:rPr>
          <w:b/>
        </w:rPr>
      </w:pPr>
      <w:r w:rsidRPr="00871721">
        <w:rPr>
          <w:b/>
        </w:rPr>
        <w:t>Crecimiento de la empresa</w:t>
      </w:r>
    </w:p>
    <w:p w:rsidR="00E627E7" w:rsidRPr="00871721" w:rsidRDefault="00E627E7" w:rsidP="00E627E7">
      <w:pPr>
        <w:jc w:val="both"/>
        <w:rPr>
          <w:b/>
        </w:rPr>
      </w:pPr>
    </w:p>
    <w:p w:rsidR="00E627E7" w:rsidRPr="00871721" w:rsidRDefault="00E627E7" w:rsidP="00E627E7">
      <w:pPr>
        <w:jc w:val="both"/>
      </w:pPr>
      <w:proofErr w:type="spellStart"/>
      <w:r w:rsidRPr="00871721">
        <w:t>Holcim</w:t>
      </w:r>
      <w:proofErr w:type="spellEnd"/>
      <w:r w:rsidRPr="00871721">
        <w:t xml:space="preserve"> (Costa Rica), S.A., ha logrado incrementar sus resultados operacionales en los últimos años, gracias a la disciplina operativa y una sólida posición competitiva en el mercado.  El compromiso permanente de superación técnica y administrativa nos permite exhibir una empresa sólida, consolidada y preparada para enfrentar los retos que exige el futuro desarrollo de Costa Rica.</w:t>
      </w:r>
    </w:p>
    <w:p w:rsidR="00E627E7" w:rsidRPr="00871721" w:rsidRDefault="00E627E7" w:rsidP="00E627E7">
      <w:pPr>
        <w:jc w:val="both"/>
      </w:pPr>
    </w:p>
    <w:p w:rsidR="00E627E7" w:rsidRPr="00871721" w:rsidRDefault="00E627E7" w:rsidP="00E627E7">
      <w:pPr>
        <w:jc w:val="both"/>
      </w:pPr>
      <w:r w:rsidRPr="00871721">
        <w:t xml:space="preserve">Desde el inicio de nuestras operaciones hemos contado con el soporte tanto técnico como administrativo y comercial de la firma </w:t>
      </w:r>
      <w:proofErr w:type="spellStart"/>
      <w:r w:rsidRPr="00871721">
        <w:t>Holcim</w:t>
      </w:r>
      <w:proofErr w:type="spellEnd"/>
      <w:r w:rsidRPr="00871721">
        <w:t xml:space="preserve"> Ltd., pionera y líder de materiales de construcción a nivel mundial.  El aporte de dicha firma a través de su respaldo y asesoramiento técnico han sido de suma importancia en la obtención de los logros y el sitio que hoy ocupa </w:t>
      </w:r>
      <w:proofErr w:type="spellStart"/>
      <w:r w:rsidRPr="00871721">
        <w:t>Holcim</w:t>
      </w:r>
      <w:proofErr w:type="spellEnd"/>
      <w:r w:rsidRPr="00871721">
        <w:t xml:space="preserve"> (Costa Rica), S.A. dentro de la industria de la construcción en nuestro país.</w:t>
      </w:r>
    </w:p>
    <w:p w:rsidR="00E627E7" w:rsidRPr="00871721" w:rsidRDefault="00E627E7" w:rsidP="00E627E7">
      <w:pPr>
        <w:jc w:val="both"/>
      </w:pPr>
    </w:p>
    <w:p w:rsidR="00E627E7" w:rsidRPr="00871721" w:rsidRDefault="00E627E7" w:rsidP="00E627E7">
      <w:pPr>
        <w:jc w:val="both"/>
      </w:pPr>
    </w:p>
    <w:p w:rsidR="00E627E7" w:rsidRPr="00871721" w:rsidRDefault="00E627E7" w:rsidP="00E627E7">
      <w:pPr>
        <w:jc w:val="both"/>
        <w:rPr>
          <w:b/>
        </w:rPr>
      </w:pPr>
      <w:r w:rsidRPr="00871721">
        <w:rPr>
          <w:b/>
        </w:rPr>
        <w:t>Políticas de producción</w:t>
      </w:r>
    </w:p>
    <w:p w:rsidR="00E627E7" w:rsidRPr="00871721" w:rsidRDefault="00E627E7" w:rsidP="00E627E7">
      <w:pPr>
        <w:jc w:val="both"/>
      </w:pPr>
    </w:p>
    <w:p w:rsidR="00E627E7" w:rsidRDefault="00E627E7" w:rsidP="00E627E7">
      <w:pPr>
        <w:jc w:val="both"/>
      </w:pPr>
      <w:r w:rsidRPr="00871721">
        <w:t xml:space="preserve">Durante muchos años, la “Cultura de la Empresa” se ha orientado a las mejoras en tecnología y eficiencias en costos.  El control de costos de producción ha sido un factor determinante en el desarrollo de nuestra actividad.  Con el propósito de garantizar a la compañía una ventaja competitiva sostenible, la organización ha reorientado su política comercial y de mercadeo, incorporando en ella los nuevos conceptos en este campo, mediante un enfoque de sistemas constructivos que le permiten abarcar vivienda, infraestructura de edificios, pavimentos para carreteras y los nuevos métodos de construcción modular a través del prefabricado.  Es un enfoque dirigido a escuchar y satisfacer las necesidades de nuestros clientes, incrementando el valor de la marca </w:t>
      </w:r>
      <w:proofErr w:type="spellStart"/>
      <w:r w:rsidRPr="00871721">
        <w:t>Holcim</w:t>
      </w:r>
      <w:proofErr w:type="spellEnd"/>
      <w:r w:rsidRPr="00871721">
        <w:t>, soportado por una fuerza de ventas y mercadeo orientada a la excelencia comercial.</w:t>
      </w:r>
    </w:p>
    <w:p w:rsidR="00E627E7" w:rsidRDefault="00E627E7" w:rsidP="00E627E7">
      <w:pPr>
        <w:jc w:val="both"/>
      </w:pPr>
    </w:p>
    <w:p w:rsidR="00E627E7" w:rsidRPr="001C40E8" w:rsidRDefault="00E627E7" w:rsidP="00E627E7">
      <w:pPr>
        <w:jc w:val="both"/>
        <w:rPr>
          <w:b/>
        </w:rPr>
      </w:pPr>
      <w:r w:rsidRPr="001C40E8">
        <w:rPr>
          <w:b/>
        </w:rPr>
        <w:t>Competencia</w:t>
      </w:r>
    </w:p>
    <w:p w:rsidR="00E627E7" w:rsidRDefault="00E627E7" w:rsidP="00E627E7">
      <w:pPr>
        <w:jc w:val="both"/>
      </w:pPr>
    </w:p>
    <w:p w:rsidR="00E627E7" w:rsidRPr="00871721" w:rsidRDefault="00E627E7" w:rsidP="00E627E7">
      <w:pPr>
        <w:jc w:val="both"/>
      </w:pPr>
      <w:r w:rsidRPr="00871721">
        <w:t xml:space="preserve">Hoy, la principal competencia está constituida por Cementos Progreso, que en 2022 adquirió la operación de Cemex mediante Oferta Pública de Acciones; desde mediados de 2018 Cementos Fortaleza (parte del Grupo </w:t>
      </w:r>
      <w:proofErr w:type="spellStart"/>
      <w:r w:rsidRPr="00871721">
        <w:t>Elementia</w:t>
      </w:r>
      <w:proofErr w:type="spellEnd"/>
      <w:r w:rsidRPr="00871721">
        <w:t xml:space="preserve"> de capital mexicano) posee una molienda y en diciembre de 2023 ingresó un nuevo competidor, importador de un cemento vietnamita que se comercializa bajo la marca SOLCEM. </w:t>
      </w:r>
    </w:p>
    <w:p w:rsidR="00E627E7" w:rsidRPr="00871721" w:rsidRDefault="00E627E7" w:rsidP="00E627E7">
      <w:pPr>
        <w:jc w:val="both"/>
      </w:pPr>
    </w:p>
    <w:p w:rsidR="00E627E7" w:rsidRPr="00871721" w:rsidRDefault="00E627E7" w:rsidP="00E627E7">
      <w:pPr>
        <w:jc w:val="both"/>
      </w:pPr>
    </w:p>
    <w:p w:rsidR="00E627E7" w:rsidRPr="00871721" w:rsidRDefault="00E627E7" w:rsidP="00E627E7">
      <w:pPr>
        <w:jc w:val="both"/>
        <w:rPr>
          <w:b/>
        </w:rPr>
      </w:pPr>
      <w:r w:rsidRPr="00871721">
        <w:rPr>
          <w:b/>
        </w:rPr>
        <w:t>Integración de empresas</w:t>
      </w:r>
    </w:p>
    <w:p w:rsidR="00E627E7" w:rsidRPr="00871721" w:rsidRDefault="00E627E7" w:rsidP="00E627E7">
      <w:pPr>
        <w:jc w:val="both"/>
        <w:rPr>
          <w:b/>
        </w:rPr>
      </w:pPr>
    </w:p>
    <w:p w:rsidR="00E627E7" w:rsidRPr="00871721" w:rsidRDefault="00E627E7" w:rsidP="00E627E7">
      <w:pPr>
        <w:jc w:val="both"/>
      </w:pPr>
      <w:r w:rsidRPr="00871721">
        <w:t xml:space="preserve">Conscientes de la necesidad de tomar las acciones apropiadas y oportunas para responder al proceso de globalización económica y de apertura comercial por el cual atravesaba nuestro país durante 1997, las empresas industriales que conformaron lo que se conoció como Corporación INCSA dieron lo que sin lugar a dudas representó el paso más trascendental de su trayectoria, al aprobar la integración organizativa y accionaria de las mismas.  Estas empresas eran: Industria Nacional de Cemento S.A. (que en 2003 se fusionó con </w:t>
      </w:r>
      <w:proofErr w:type="spellStart"/>
      <w:r w:rsidRPr="00871721">
        <w:t>Holcim</w:t>
      </w:r>
      <w:proofErr w:type="spellEnd"/>
      <w:r w:rsidRPr="00871721">
        <w:t xml:space="preserve"> (Costa Rica) S.A., subsistiendo únicamente esta última, Productos de Concreto S.A., </w:t>
      </w:r>
      <w:proofErr w:type="spellStart"/>
      <w:r w:rsidRPr="00871721">
        <w:t>Holcim</w:t>
      </w:r>
      <w:proofErr w:type="spellEnd"/>
      <w:r w:rsidRPr="00871721">
        <w:t xml:space="preserve"> </w:t>
      </w:r>
      <w:proofErr w:type="spellStart"/>
      <w:r w:rsidRPr="00871721">
        <w:t>Concretera</w:t>
      </w:r>
      <w:proofErr w:type="spellEnd"/>
      <w:r w:rsidRPr="00871721">
        <w:t xml:space="preserve"> S.A., Quebradores Cerro Minas S.A. (que luego cambió su denominación social a </w:t>
      </w:r>
      <w:proofErr w:type="spellStart"/>
      <w:r w:rsidRPr="00871721">
        <w:t>Holcim</w:t>
      </w:r>
      <w:proofErr w:type="spellEnd"/>
      <w:r w:rsidRPr="00871721">
        <w:t xml:space="preserve"> Agregados S.A.) e Hidroeléctrica Aguas Zarcas S.A.</w:t>
      </w:r>
    </w:p>
    <w:p w:rsidR="00E627E7" w:rsidRPr="00871721" w:rsidRDefault="00E627E7" w:rsidP="00E627E7">
      <w:pPr>
        <w:jc w:val="both"/>
      </w:pPr>
    </w:p>
    <w:p w:rsidR="00E627E7" w:rsidRPr="00871721" w:rsidRDefault="00E627E7" w:rsidP="00E627E7">
      <w:pPr>
        <w:jc w:val="both"/>
      </w:pPr>
      <w:r w:rsidRPr="00871721">
        <w:t>Aunque desde el punto de vista jurídico cada una de ellas mantuvo su estructura legal, en lo administrativo, comercial e incluso en las áreas de producción, se lograron integrar adecuadamente áreas de servicios corporativos que permitieron aprovechar las sinergias del grupo y racionalizar al máximo los gastos de operación.  El grupo quedó conformado por cinco áreas o unidades de negocio: cemento, productos del concreto, agregados, concreto premezclado y energía.</w:t>
      </w:r>
    </w:p>
    <w:p w:rsidR="00E627E7" w:rsidRPr="00871721" w:rsidRDefault="00E627E7" w:rsidP="00E627E7">
      <w:pPr>
        <w:jc w:val="both"/>
      </w:pPr>
    </w:p>
    <w:p w:rsidR="00E627E7" w:rsidRPr="00871721" w:rsidRDefault="00E627E7" w:rsidP="00E627E7">
      <w:pPr>
        <w:jc w:val="both"/>
      </w:pPr>
      <w:r w:rsidRPr="00871721">
        <w:t xml:space="preserve">Con el objetivo permanente de la simplificación administrativa, durante el 2008 se fusionaron </w:t>
      </w:r>
      <w:proofErr w:type="spellStart"/>
      <w:r w:rsidRPr="00871721">
        <w:t>Holcim</w:t>
      </w:r>
      <w:proofErr w:type="spellEnd"/>
      <w:r w:rsidRPr="00871721">
        <w:t xml:space="preserve"> Agregados y </w:t>
      </w:r>
      <w:proofErr w:type="spellStart"/>
      <w:r w:rsidRPr="00871721">
        <w:t>Holcim</w:t>
      </w:r>
      <w:proofErr w:type="spellEnd"/>
      <w:r w:rsidRPr="00871721">
        <w:t xml:space="preserve"> </w:t>
      </w:r>
      <w:proofErr w:type="spellStart"/>
      <w:r w:rsidRPr="00871721">
        <w:t>Concretera</w:t>
      </w:r>
      <w:proofErr w:type="spellEnd"/>
      <w:r w:rsidRPr="00871721">
        <w:t xml:space="preserve"> con </w:t>
      </w:r>
      <w:proofErr w:type="spellStart"/>
      <w:r w:rsidRPr="00871721">
        <w:t>Holcim</w:t>
      </w:r>
      <w:proofErr w:type="spellEnd"/>
      <w:r w:rsidRPr="00871721">
        <w:t xml:space="preserve"> (Costa Rica) S.A., prevaleciendo ésta última, lo que llevó a conformar un grupo de 4 empresas: </w:t>
      </w:r>
      <w:proofErr w:type="spellStart"/>
      <w:r w:rsidRPr="00871721">
        <w:t>Holcim</w:t>
      </w:r>
      <w:proofErr w:type="spellEnd"/>
      <w:r w:rsidRPr="00871721">
        <w:t xml:space="preserve"> (Costa Rica) S.A., Productos de Concreto S.A., Servicios Ambientales </w:t>
      </w:r>
      <w:proofErr w:type="spellStart"/>
      <w:r w:rsidRPr="00871721">
        <w:t>Geocycle</w:t>
      </w:r>
      <w:proofErr w:type="spellEnd"/>
      <w:r w:rsidRPr="00871721">
        <w:t xml:space="preserve"> S.A.G. S.A. </w:t>
      </w:r>
      <w:r>
        <w:rPr>
          <w:sz w:val="20"/>
          <w:szCs w:val="20"/>
        </w:rPr>
        <w:t xml:space="preserve">(Desde 22 de abril de 2024 </w:t>
      </w:r>
      <w:proofErr w:type="spellStart"/>
      <w:r>
        <w:rPr>
          <w:sz w:val="20"/>
          <w:szCs w:val="20"/>
        </w:rPr>
        <w:t>Holcim</w:t>
      </w:r>
      <w:proofErr w:type="spellEnd"/>
      <w:r>
        <w:rPr>
          <w:sz w:val="20"/>
          <w:szCs w:val="20"/>
        </w:rPr>
        <w:t xml:space="preserve"> Costa Rica, S.A.)</w:t>
      </w:r>
      <w:r>
        <w:t xml:space="preserve"> </w:t>
      </w:r>
      <w:r w:rsidRPr="00871721">
        <w:t>e Hidroeléctricas Aguas Zarcas S.A.</w:t>
      </w:r>
    </w:p>
    <w:p w:rsidR="00E627E7" w:rsidRPr="00871721" w:rsidRDefault="00E627E7" w:rsidP="00E627E7">
      <w:pPr>
        <w:jc w:val="both"/>
      </w:pPr>
    </w:p>
    <w:p w:rsidR="00E627E7" w:rsidRPr="00871721" w:rsidRDefault="00E627E7" w:rsidP="00E627E7">
      <w:pPr>
        <w:jc w:val="both"/>
      </w:pPr>
      <w:r w:rsidRPr="00871721">
        <w:t xml:space="preserve">El 31 de marzo del 2012, la empresa Productos de Concreto, S.A. fue vendida en un 100%.  El 1 de febrero de 2013 </w:t>
      </w:r>
      <w:proofErr w:type="spellStart"/>
      <w:r w:rsidRPr="00871721">
        <w:t>Holcim</w:t>
      </w:r>
      <w:proofErr w:type="spellEnd"/>
      <w:r w:rsidRPr="00871721">
        <w:t xml:space="preserve"> adquirió el 100% de las acciones de </w:t>
      </w:r>
      <w:proofErr w:type="spellStart"/>
      <w:r w:rsidRPr="00871721">
        <w:t>Construcorp</w:t>
      </w:r>
      <w:proofErr w:type="spellEnd"/>
      <w:r w:rsidRPr="00871721">
        <w:t xml:space="preserve"> Internacional SCI, S.A, misma que buscaba desarrollar las franquicias del sistema “</w:t>
      </w:r>
      <w:proofErr w:type="spellStart"/>
      <w:r w:rsidRPr="00871721">
        <w:t>Disensa</w:t>
      </w:r>
      <w:proofErr w:type="spellEnd"/>
      <w:r w:rsidRPr="00871721">
        <w:t xml:space="preserve">” (antes </w:t>
      </w:r>
      <w:proofErr w:type="spellStart"/>
      <w:r w:rsidRPr="00871721">
        <w:t>Construred</w:t>
      </w:r>
      <w:proofErr w:type="spellEnd"/>
      <w:r w:rsidRPr="00871721">
        <w:t xml:space="preserve">) apoyando y fortaleciendo a los pequeños y medianos comercios de ferreterías y materiales de construcción en Costa Rica.  </w:t>
      </w:r>
    </w:p>
    <w:p w:rsidR="00E627E7" w:rsidRPr="00871721" w:rsidRDefault="00E627E7" w:rsidP="00E627E7">
      <w:pPr>
        <w:jc w:val="both"/>
      </w:pPr>
    </w:p>
    <w:p w:rsidR="00E627E7" w:rsidRPr="00871721" w:rsidRDefault="00E627E7" w:rsidP="00E627E7">
      <w:pPr>
        <w:jc w:val="both"/>
      </w:pPr>
      <w:r w:rsidRPr="00871721">
        <w:t xml:space="preserve">Hidroeléctrica Aguas Zarcas S.A. fue vendida a finales de año 2014 y las operaciones de Concreto Premezclado y Agregados durante septiembre 2016; por lo que el grupo quedó conformado por tres áreas o unidades de negocio: cemento, </w:t>
      </w:r>
      <w:proofErr w:type="spellStart"/>
      <w:r w:rsidRPr="00871721">
        <w:t>co</w:t>
      </w:r>
      <w:proofErr w:type="spellEnd"/>
      <w:r w:rsidRPr="00871721">
        <w:t xml:space="preserve">-procesamiento y franquicias. En julio del año 2015 se dio la fusión a nivel mundial de </w:t>
      </w:r>
      <w:proofErr w:type="spellStart"/>
      <w:r w:rsidRPr="00871721">
        <w:t>Holcim</w:t>
      </w:r>
      <w:proofErr w:type="spellEnd"/>
      <w:r w:rsidRPr="00871721">
        <w:t xml:space="preserve"> con la empresa cementera Lafarge, conformándose una nueva empresa llamada </w:t>
      </w:r>
      <w:proofErr w:type="spellStart"/>
      <w:r w:rsidRPr="00871721">
        <w:t>LafargeHolcim</w:t>
      </w:r>
      <w:proofErr w:type="spellEnd"/>
      <w:r w:rsidRPr="00871721">
        <w:t>, empresa líder de materiales para construcción a nivel mundial.</w:t>
      </w:r>
    </w:p>
    <w:p w:rsidR="00E627E7" w:rsidRPr="00871721" w:rsidRDefault="00E627E7" w:rsidP="00E627E7">
      <w:pPr>
        <w:jc w:val="both"/>
      </w:pPr>
    </w:p>
    <w:p w:rsidR="00E627E7" w:rsidRPr="00871721" w:rsidRDefault="00E627E7" w:rsidP="00E627E7">
      <w:pPr>
        <w:jc w:val="both"/>
      </w:pPr>
      <w:r w:rsidRPr="00871721">
        <w:t xml:space="preserve">En Julio de 2021, </w:t>
      </w:r>
      <w:proofErr w:type="spellStart"/>
      <w:r w:rsidRPr="00871721">
        <w:t>Holcim</w:t>
      </w:r>
      <w:proofErr w:type="spellEnd"/>
      <w:r w:rsidRPr="00871721">
        <w:t xml:space="preserve"> recibe la autorización/aprobación de COPROCOM para adquirir el 51% de Agregados Guápiles S.A. y </w:t>
      </w:r>
      <w:proofErr w:type="spellStart"/>
      <w:r w:rsidRPr="00871721">
        <w:t>Concretera</w:t>
      </w:r>
      <w:proofErr w:type="spellEnd"/>
      <w:r w:rsidRPr="00871721">
        <w:t xml:space="preserve"> Nacional S.A.</w:t>
      </w:r>
    </w:p>
    <w:p w:rsidR="00E627E7" w:rsidRPr="00871721" w:rsidRDefault="00E627E7" w:rsidP="00E627E7">
      <w:pPr>
        <w:jc w:val="both"/>
      </w:pPr>
    </w:p>
    <w:p w:rsidR="00E627E7" w:rsidRPr="00871721" w:rsidRDefault="00E627E7" w:rsidP="00E627E7">
      <w:pPr>
        <w:jc w:val="both"/>
      </w:pPr>
      <w:r w:rsidRPr="00871721">
        <w:t xml:space="preserve">Durante junio de 2021 </w:t>
      </w:r>
      <w:proofErr w:type="spellStart"/>
      <w:r w:rsidRPr="00871721">
        <w:t>Holcim</w:t>
      </w:r>
      <w:proofErr w:type="spellEnd"/>
      <w:r w:rsidRPr="00871721">
        <w:t xml:space="preserve"> Costa Rica, S.A. adquirió el 49% de las acciones de Tecnología de la Construcción TDC, S.A. (“TDC”) (entidad absorbida por </w:t>
      </w:r>
      <w:proofErr w:type="spellStart"/>
      <w:r w:rsidRPr="00871721">
        <w:t>Construcorp</w:t>
      </w:r>
      <w:proofErr w:type="spellEnd"/>
      <w:r w:rsidRPr="00871721">
        <w:t xml:space="preserve"> SA actualmente denominada </w:t>
      </w:r>
      <w:proofErr w:type="spellStart"/>
      <w:r w:rsidRPr="00871721">
        <w:t>Holcim</w:t>
      </w:r>
      <w:proofErr w:type="spellEnd"/>
      <w:r w:rsidRPr="00871721">
        <w:t xml:space="preserve"> Modular </w:t>
      </w:r>
      <w:proofErr w:type="spellStart"/>
      <w:r w:rsidRPr="00871721">
        <w:t>Solutions</w:t>
      </w:r>
      <w:proofErr w:type="spellEnd"/>
      <w:r w:rsidRPr="00871721">
        <w:t xml:space="preserve"> SA HMS), como abono de pago a las cuentas financieras adeudadas por Productos de Concreto, S.A. (“PC”) la cual era dueña del 100% de las acciones de TDC, esta transacción se realizó de acuerdo con el contrato de cesión de acciones firmado entre ambas partes, el cual estableció una opción de compra por 10 años sobre el 51% de las acciones restantes poseídas por PC en TDC.</w:t>
      </w:r>
    </w:p>
    <w:p w:rsidR="00E627E7" w:rsidRPr="00871721" w:rsidRDefault="00E627E7" w:rsidP="00E627E7">
      <w:pPr>
        <w:jc w:val="both"/>
      </w:pPr>
      <w:r w:rsidRPr="00871721">
        <w:t xml:space="preserve">El día 1 de diciembre de 2022 se cumplieron satisfactoriamente las condiciones del acuerdo de cesión de acciones entre </w:t>
      </w:r>
      <w:proofErr w:type="spellStart"/>
      <w:r w:rsidRPr="00871721">
        <w:t>Holcim</w:t>
      </w:r>
      <w:proofErr w:type="spellEnd"/>
      <w:r w:rsidRPr="00871721">
        <w:t xml:space="preserve"> Costa Rica, S.A. y Productos de Concreto, S.A. para la adquisición del 51% de acciones en circulación de TDC, por lo cual </w:t>
      </w:r>
      <w:proofErr w:type="spellStart"/>
      <w:r w:rsidRPr="00871721">
        <w:t>Holcim</w:t>
      </w:r>
      <w:proofErr w:type="spellEnd"/>
      <w:r w:rsidRPr="00871721">
        <w:t xml:space="preserve"> Costa Rica S.A. pasó a tener el 100% de las acciones de TDC. A partir del 1 de diciembre de 2022, </w:t>
      </w:r>
      <w:proofErr w:type="spellStart"/>
      <w:r w:rsidRPr="00871721">
        <w:t>Holcim</w:t>
      </w:r>
      <w:proofErr w:type="spellEnd"/>
      <w:r w:rsidRPr="00871721">
        <w:t xml:space="preserve"> Costa Rica S.A. pasó a tener el control de Tecnología de la Construcción, S.A., (entidad absorbida por </w:t>
      </w:r>
      <w:proofErr w:type="spellStart"/>
      <w:r w:rsidRPr="00871721">
        <w:t>Construcorp</w:t>
      </w:r>
      <w:proofErr w:type="spellEnd"/>
      <w:r w:rsidRPr="00871721">
        <w:t xml:space="preserve"> SA actualmente denominada </w:t>
      </w:r>
      <w:proofErr w:type="spellStart"/>
      <w:r w:rsidRPr="00871721">
        <w:t>Holcim</w:t>
      </w:r>
      <w:proofErr w:type="spellEnd"/>
      <w:r w:rsidRPr="00871721">
        <w:t xml:space="preserve"> Modular </w:t>
      </w:r>
      <w:proofErr w:type="spellStart"/>
      <w:r w:rsidRPr="00871721">
        <w:t>Solutions</w:t>
      </w:r>
      <w:proofErr w:type="spellEnd"/>
      <w:r w:rsidRPr="00871721">
        <w:t xml:space="preserve"> SA HMS), y a consolidarla en sus cifras enmarcado bajo la NIIF 10 Estados Financieros consolidados.</w:t>
      </w:r>
    </w:p>
    <w:p w:rsidR="00E627E7" w:rsidRPr="00871721" w:rsidRDefault="00E627E7" w:rsidP="00E627E7">
      <w:pPr>
        <w:jc w:val="both"/>
      </w:pPr>
    </w:p>
    <w:p w:rsidR="00E627E7" w:rsidRPr="00871721" w:rsidRDefault="00E627E7" w:rsidP="00E627E7">
      <w:pPr>
        <w:jc w:val="both"/>
      </w:pPr>
      <w:r w:rsidRPr="00871721">
        <w:t xml:space="preserve">El 16 de enero de 2023 </w:t>
      </w:r>
      <w:proofErr w:type="spellStart"/>
      <w:r w:rsidRPr="00871721">
        <w:t>Holcim</w:t>
      </w:r>
      <w:proofErr w:type="spellEnd"/>
      <w:r w:rsidRPr="00871721">
        <w:t xml:space="preserve"> Costa Rica recibe la autorización de COPROCOM para adquirir el establecimiento mercantil de prefabricado pesado a través de su subsidiaria </w:t>
      </w:r>
      <w:proofErr w:type="spellStart"/>
      <w:r w:rsidRPr="00871721">
        <w:t>Holcim</w:t>
      </w:r>
      <w:proofErr w:type="spellEnd"/>
      <w:r w:rsidRPr="00871721">
        <w:t xml:space="preserve"> Modular </w:t>
      </w:r>
      <w:proofErr w:type="spellStart"/>
      <w:r w:rsidRPr="00871721">
        <w:t>Solutions</w:t>
      </w:r>
      <w:proofErr w:type="spellEnd"/>
      <w:r w:rsidRPr="00871721">
        <w:t xml:space="preserve">, S.A. (entidad subsidiaria 100% de </w:t>
      </w:r>
      <w:proofErr w:type="spellStart"/>
      <w:r w:rsidRPr="00871721">
        <w:t>Holcim</w:t>
      </w:r>
      <w:proofErr w:type="spellEnd"/>
      <w:r w:rsidRPr="00871721">
        <w:t xml:space="preserve"> Costa Rica, S.A.) y Productos de Concreto, S.A. </w:t>
      </w:r>
    </w:p>
    <w:p w:rsidR="00E627E7" w:rsidRPr="00871721" w:rsidRDefault="00E627E7" w:rsidP="00E627E7">
      <w:pPr>
        <w:jc w:val="both"/>
      </w:pPr>
    </w:p>
    <w:p w:rsidR="00E627E7" w:rsidRPr="00871721" w:rsidRDefault="00E627E7" w:rsidP="00E627E7">
      <w:pPr>
        <w:jc w:val="both"/>
      </w:pPr>
      <w:r w:rsidRPr="00871721">
        <w:t xml:space="preserve">El 1 de noviembre de 2023, se realizó la fusión por absorción de las compañías </w:t>
      </w:r>
      <w:proofErr w:type="spellStart"/>
      <w:r w:rsidRPr="00871721">
        <w:t>Holcim</w:t>
      </w:r>
      <w:proofErr w:type="spellEnd"/>
      <w:r w:rsidRPr="00871721">
        <w:t xml:space="preserve"> Modular </w:t>
      </w:r>
      <w:proofErr w:type="spellStart"/>
      <w:r w:rsidRPr="00871721">
        <w:t>Solutions</w:t>
      </w:r>
      <w:proofErr w:type="spellEnd"/>
      <w:r w:rsidRPr="00871721">
        <w:t xml:space="preserve">, S.A. (antes </w:t>
      </w:r>
      <w:proofErr w:type="spellStart"/>
      <w:r w:rsidRPr="00871721">
        <w:t>Construcorp</w:t>
      </w:r>
      <w:proofErr w:type="spellEnd"/>
      <w:r w:rsidRPr="00871721">
        <w:t xml:space="preserve"> Internacional SCI, S.A.) y Tecnología de la Construcción TDC, S.A. (entidad absorbida por </w:t>
      </w:r>
      <w:proofErr w:type="spellStart"/>
      <w:r w:rsidRPr="00871721">
        <w:t>Construcorp</w:t>
      </w:r>
      <w:proofErr w:type="spellEnd"/>
      <w:r w:rsidRPr="00871721">
        <w:t xml:space="preserve"> SA actualmente denominada </w:t>
      </w:r>
      <w:proofErr w:type="spellStart"/>
      <w:r w:rsidRPr="00871721">
        <w:t>Holcim</w:t>
      </w:r>
      <w:proofErr w:type="spellEnd"/>
      <w:r w:rsidRPr="00871721">
        <w:t xml:space="preserve"> Modular </w:t>
      </w:r>
      <w:proofErr w:type="spellStart"/>
      <w:r w:rsidRPr="00871721">
        <w:t>Solutions</w:t>
      </w:r>
      <w:proofErr w:type="spellEnd"/>
      <w:r w:rsidRPr="00871721">
        <w:t xml:space="preserve"> SA HMS).</w:t>
      </w:r>
    </w:p>
    <w:p w:rsidR="00E627E7" w:rsidRPr="00871721" w:rsidRDefault="00E627E7" w:rsidP="00E627E7">
      <w:pPr>
        <w:jc w:val="both"/>
      </w:pPr>
    </w:p>
    <w:p w:rsidR="00E627E7" w:rsidRPr="00871721" w:rsidRDefault="00E627E7" w:rsidP="00E627E7">
      <w:pPr>
        <w:jc w:val="both"/>
      </w:pPr>
      <w:r w:rsidRPr="00871721">
        <w:t xml:space="preserve">Estas transacciones representan un paso transformacional para </w:t>
      </w:r>
      <w:proofErr w:type="spellStart"/>
      <w:r w:rsidRPr="00871721">
        <w:t>Holcim</w:t>
      </w:r>
      <w:proofErr w:type="spellEnd"/>
      <w:r w:rsidRPr="00871721">
        <w:t xml:space="preserve"> en el mercado de prefabricados y diversificación del negocio. Con esta adquisición </w:t>
      </w:r>
      <w:proofErr w:type="spellStart"/>
      <w:r w:rsidRPr="00871721">
        <w:t>Holcim</w:t>
      </w:r>
      <w:proofErr w:type="spellEnd"/>
      <w:r w:rsidRPr="00871721">
        <w:t xml:space="preserve"> se posiciona, a través de esta operación, en un eslabón clave del negocio de prefabricado, con claras perspectivas de crecimiento futuro.</w:t>
      </w:r>
    </w:p>
    <w:p w:rsidR="00E627E7" w:rsidRPr="00871721" w:rsidRDefault="00E627E7" w:rsidP="00E627E7">
      <w:pPr>
        <w:jc w:val="both"/>
      </w:pPr>
    </w:p>
    <w:p w:rsidR="00E627E7" w:rsidRPr="00871721" w:rsidRDefault="00E627E7" w:rsidP="00E627E7">
      <w:pPr>
        <w:jc w:val="both"/>
        <w:rPr>
          <w:b/>
        </w:rPr>
      </w:pPr>
    </w:p>
    <w:p w:rsidR="00E627E7" w:rsidRPr="00871721" w:rsidRDefault="00E627E7" w:rsidP="00E627E7">
      <w:pPr>
        <w:jc w:val="both"/>
        <w:rPr>
          <w:b/>
        </w:rPr>
      </w:pPr>
      <w:r w:rsidRPr="00871721">
        <w:rPr>
          <w:b/>
        </w:rPr>
        <w:t>Seguros de la empresa</w:t>
      </w:r>
    </w:p>
    <w:p w:rsidR="00E627E7" w:rsidRPr="00871721" w:rsidRDefault="00E627E7" w:rsidP="00E627E7">
      <w:pPr>
        <w:jc w:val="both"/>
      </w:pPr>
    </w:p>
    <w:p w:rsidR="00E627E7" w:rsidRPr="00871721" w:rsidRDefault="00E627E7" w:rsidP="00E627E7">
      <w:pPr>
        <w:jc w:val="both"/>
      </w:pPr>
      <w:r w:rsidRPr="00871721">
        <w:t>Se tienen asegurados los activos de la empresa, la continuidad de las operaciones, los riesgos del trabajo y la responsabilidad civil por medio de una serie de pólizas contratadas con el Instituto Nacional de Seguros (INS) y con Reaseguradores Internacionales.</w:t>
      </w:r>
    </w:p>
    <w:p w:rsidR="00E627E7" w:rsidRPr="00871721" w:rsidRDefault="00E627E7" w:rsidP="00E627E7">
      <w:pPr>
        <w:jc w:val="both"/>
      </w:pPr>
    </w:p>
    <w:p w:rsidR="00E627E7" w:rsidRPr="00871721" w:rsidRDefault="00E627E7" w:rsidP="00E627E7">
      <w:pPr>
        <w:jc w:val="both"/>
      </w:pPr>
      <w:r w:rsidRPr="00871721">
        <w:t>Existen pólizas suscritas de Todo Riesgo, Automóviles, Riesgos del Trabajo y Equipo de Contratistas con los diferentes Departamentos del INS.</w:t>
      </w:r>
    </w:p>
    <w:p w:rsidR="00E627E7" w:rsidRPr="00871721" w:rsidRDefault="00E627E7" w:rsidP="00E627E7">
      <w:pPr>
        <w:jc w:val="both"/>
      </w:pPr>
    </w:p>
    <w:p w:rsidR="00E627E7" w:rsidRPr="00871721" w:rsidRDefault="00E627E7" w:rsidP="00E627E7">
      <w:pPr>
        <w:jc w:val="both"/>
      </w:pPr>
    </w:p>
    <w:p w:rsidR="00E627E7" w:rsidRPr="00871721" w:rsidRDefault="00E627E7" w:rsidP="00E627E7">
      <w:pPr>
        <w:jc w:val="both"/>
        <w:rPr>
          <w:b/>
        </w:rPr>
      </w:pPr>
      <w:r w:rsidRPr="00871721">
        <w:rPr>
          <w:b/>
        </w:rPr>
        <w:t>Contrato de Asistencia Técnica y uso de marca</w:t>
      </w:r>
    </w:p>
    <w:p w:rsidR="00E627E7" w:rsidRPr="00871721" w:rsidRDefault="00E627E7" w:rsidP="00E627E7">
      <w:pPr>
        <w:jc w:val="both"/>
      </w:pPr>
    </w:p>
    <w:p w:rsidR="00E627E7" w:rsidRPr="00871721" w:rsidRDefault="00E627E7" w:rsidP="00E627E7">
      <w:pPr>
        <w:jc w:val="both"/>
      </w:pPr>
      <w:r w:rsidRPr="00871721">
        <w:t xml:space="preserve">La empresa mantiene vigente un contrato de asistencia técnica, uso de la marca y soporte administrativo con la compañía </w:t>
      </w:r>
      <w:proofErr w:type="spellStart"/>
      <w:r w:rsidRPr="00871721">
        <w:t>Holcim</w:t>
      </w:r>
      <w:proofErr w:type="spellEnd"/>
      <w:r w:rsidRPr="00871721">
        <w:t xml:space="preserve"> </w:t>
      </w:r>
      <w:proofErr w:type="spellStart"/>
      <w:r w:rsidRPr="00871721">
        <w:t>Technology</w:t>
      </w:r>
      <w:proofErr w:type="spellEnd"/>
      <w:r w:rsidRPr="00871721">
        <w:t xml:space="preserve">, una subsidiaria de </w:t>
      </w:r>
      <w:proofErr w:type="spellStart"/>
      <w:r w:rsidRPr="00871721">
        <w:t>Holcim</w:t>
      </w:r>
      <w:proofErr w:type="spellEnd"/>
      <w:r w:rsidRPr="00871721">
        <w:t xml:space="preserve"> Ltd., actual líder en la producción y comercialización de cemento a nivel mundial.  Este grupo suministra sus servicios profesionales en asistencia técnica a empresas cementeras en los cinco continentes. </w:t>
      </w:r>
    </w:p>
    <w:p w:rsidR="00E627E7" w:rsidRPr="00871721" w:rsidRDefault="00E627E7" w:rsidP="00E627E7">
      <w:pPr>
        <w:jc w:val="both"/>
      </w:pPr>
    </w:p>
    <w:p w:rsidR="00E627E7" w:rsidRPr="00871721" w:rsidRDefault="00E627E7" w:rsidP="00E627E7">
      <w:pPr>
        <w:jc w:val="both"/>
      </w:pPr>
    </w:p>
    <w:p w:rsidR="00E627E7" w:rsidRPr="00871721" w:rsidRDefault="00E627E7" w:rsidP="00E627E7">
      <w:pPr>
        <w:jc w:val="both"/>
        <w:rPr>
          <w:b/>
        </w:rPr>
      </w:pPr>
      <w:r w:rsidRPr="00871721">
        <w:rPr>
          <w:b/>
        </w:rPr>
        <w:t>Estructura Corporativa</w:t>
      </w:r>
    </w:p>
    <w:p w:rsidR="00E627E7" w:rsidRPr="00871721" w:rsidRDefault="00E627E7" w:rsidP="00E627E7">
      <w:pPr>
        <w:jc w:val="both"/>
      </w:pPr>
    </w:p>
    <w:p w:rsidR="00E627E7" w:rsidRPr="00871721" w:rsidRDefault="00E627E7" w:rsidP="00E627E7">
      <w:pPr>
        <w:jc w:val="both"/>
      </w:pPr>
      <w:r w:rsidRPr="00871721">
        <w:t xml:space="preserve">Como resultado de la integración de empresas que se mencionó en la página anterior, </w:t>
      </w:r>
      <w:proofErr w:type="spellStart"/>
      <w:r w:rsidRPr="00871721">
        <w:t>Holcim</w:t>
      </w:r>
      <w:proofErr w:type="spellEnd"/>
      <w:r w:rsidRPr="00871721">
        <w:t xml:space="preserve"> (Costa Rica), S.A., actúa en la actualidad tanto como “Holding” del grupo, así como, como empresa operativa.  El cuadro que se presenta a continuación muestra las principales empresas que conforman el grupo en la actualidad y la actividad que cada una de ellas desarrolla.  Más adelante se detallan los porcentajes de participación en cada una de ellas:</w:t>
      </w:r>
    </w:p>
    <w:p w:rsidR="00E627E7" w:rsidRPr="00871721" w:rsidRDefault="00E627E7" w:rsidP="00E627E7">
      <w:pPr>
        <w:jc w:val="both"/>
      </w:pPr>
    </w:p>
    <w:tbl>
      <w:tblPr>
        <w:tblW w:w="9662" w:type="dxa"/>
        <w:tblLayout w:type="fixed"/>
        <w:tblLook w:val="0000" w:firstRow="0" w:lastRow="0" w:firstColumn="0" w:lastColumn="0" w:noHBand="0" w:noVBand="0"/>
      </w:tblPr>
      <w:tblGrid>
        <w:gridCol w:w="392"/>
        <w:gridCol w:w="4529"/>
        <w:gridCol w:w="283"/>
        <w:gridCol w:w="4208"/>
        <w:gridCol w:w="250"/>
      </w:tblGrid>
      <w:tr w:rsidR="00E627E7" w:rsidRPr="00871721" w:rsidTr="00E02D6F">
        <w:trPr>
          <w:cantSplit/>
        </w:trPr>
        <w:tc>
          <w:tcPr>
            <w:tcW w:w="392" w:type="dxa"/>
          </w:tcPr>
          <w:p w:rsidR="00E627E7" w:rsidRPr="00871721" w:rsidRDefault="00E627E7" w:rsidP="00E02D6F">
            <w:pPr>
              <w:jc w:val="center"/>
              <w:rPr>
                <w:b/>
              </w:rPr>
            </w:pPr>
          </w:p>
        </w:tc>
        <w:tc>
          <w:tcPr>
            <w:tcW w:w="4529" w:type="dxa"/>
            <w:tcBorders>
              <w:top w:val="single" w:sz="6" w:space="0" w:color="000000"/>
              <w:left w:val="single" w:sz="6" w:space="0" w:color="000000"/>
              <w:bottom w:val="single" w:sz="6" w:space="0" w:color="000000"/>
            </w:tcBorders>
          </w:tcPr>
          <w:p w:rsidR="00E627E7" w:rsidRPr="00871721" w:rsidRDefault="00E627E7" w:rsidP="00E02D6F">
            <w:pPr>
              <w:jc w:val="center"/>
              <w:rPr>
                <w:b/>
              </w:rPr>
            </w:pPr>
            <w:r w:rsidRPr="00871721">
              <w:rPr>
                <w:b/>
              </w:rPr>
              <w:t>Empresa</w:t>
            </w:r>
          </w:p>
        </w:tc>
        <w:tc>
          <w:tcPr>
            <w:tcW w:w="283" w:type="dxa"/>
            <w:tcBorders>
              <w:top w:val="single" w:sz="6" w:space="0" w:color="000000"/>
              <w:bottom w:val="single" w:sz="6" w:space="0" w:color="000000"/>
              <w:right w:val="single" w:sz="6" w:space="0" w:color="000000"/>
            </w:tcBorders>
          </w:tcPr>
          <w:p w:rsidR="00E627E7" w:rsidRPr="00871721" w:rsidRDefault="00E627E7" w:rsidP="00E02D6F">
            <w:pPr>
              <w:jc w:val="center"/>
              <w:rPr>
                <w:b/>
              </w:rPr>
            </w:pPr>
          </w:p>
        </w:tc>
        <w:tc>
          <w:tcPr>
            <w:tcW w:w="4208" w:type="dxa"/>
            <w:tcBorders>
              <w:top w:val="single" w:sz="6" w:space="0" w:color="000000"/>
              <w:bottom w:val="single" w:sz="6" w:space="0" w:color="000000"/>
              <w:right w:val="single" w:sz="6" w:space="0" w:color="000000"/>
            </w:tcBorders>
          </w:tcPr>
          <w:p w:rsidR="00E627E7" w:rsidRPr="00871721" w:rsidRDefault="00E627E7" w:rsidP="00E02D6F">
            <w:pPr>
              <w:jc w:val="center"/>
              <w:rPr>
                <w:b/>
              </w:rPr>
            </w:pPr>
            <w:r w:rsidRPr="00871721">
              <w:rPr>
                <w:b/>
              </w:rPr>
              <w:t>Área de Negocio o Actividad</w:t>
            </w:r>
          </w:p>
        </w:tc>
        <w:tc>
          <w:tcPr>
            <w:tcW w:w="250" w:type="dxa"/>
          </w:tcPr>
          <w:p w:rsidR="00E627E7" w:rsidRPr="00871721" w:rsidRDefault="00E627E7" w:rsidP="00E02D6F">
            <w:pPr>
              <w:jc w:val="center"/>
              <w:rPr>
                <w:b/>
              </w:rPr>
            </w:pPr>
          </w:p>
        </w:tc>
      </w:tr>
      <w:tr w:rsidR="00E627E7" w:rsidRPr="00871721" w:rsidTr="00E02D6F">
        <w:trPr>
          <w:cantSplit/>
        </w:trPr>
        <w:tc>
          <w:tcPr>
            <w:tcW w:w="392" w:type="dxa"/>
          </w:tcPr>
          <w:p w:rsidR="00E627E7" w:rsidRPr="00871721" w:rsidRDefault="00E627E7" w:rsidP="00E02D6F">
            <w:pPr>
              <w:jc w:val="both"/>
            </w:pPr>
          </w:p>
        </w:tc>
        <w:tc>
          <w:tcPr>
            <w:tcW w:w="4529" w:type="dxa"/>
            <w:tcBorders>
              <w:left w:val="single" w:sz="6" w:space="0" w:color="000000"/>
            </w:tcBorders>
          </w:tcPr>
          <w:p w:rsidR="00E627E7" w:rsidRPr="00871721" w:rsidRDefault="00E627E7" w:rsidP="00E02D6F">
            <w:pPr>
              <w:jc w:val="both"/>
            </w:pPr>
            <w:proofErr w:type="spellStart"/>
            <w:r w:rsidRPr="00871721">
              <w:t>Holcim</w:t>
            </w:r>
            <w:proofErr w:type="spellEnd"/>
            <w:r w:rsidRPr="00871721">
              <w:t xml:space="preserve"> (Costa Rica), S.A.</w:t>
            </w:r>
          </w:p>
        </w:tc>
        <w:tc>
          <w:tcPr>
            <w:tcW w:w="283" w:type="dxa"/>
            <w:tcBorders>
              <w:right w:val="single" w:sz="6" w:space="0" w:color="000000"/>
            </w:tcBorders>
          </w:tcPr>
          <w:p w:rsidR="00E627E7" w:rsidRPr="00871721" w:rsidRDefault="00E627E7" w:rsidP="00E02D6F">
            <w:pPr>
              <w:jc w:val="both"/>
            </w:pPr>
          </w:p>
        </w:tc>
        <w:tc>
          <w:tcPr>
            <w:tcW w:w="4208" w:type="dxa"/>
            <w:tcBorders>
              <w:right w:val="single" w:sz="6" w:space="0" w:color="000000"/>
            </w:tcBorders>
          </w:tcPr>
          <w:p w:rsidR="00E627E7" w:rsidRPr="00871721" w:rsidRDefault="00E627E7" w:rsidP="00E02D6F">
            <w:pPr>
              <w:jc w:val="both"/>
            </w:pPr>
            <w:r w:rsidRPr="00871721">
              <w:t xml:space="preserve">Producción y comercialización de cemento y de </w:t>
            </w:r>
            <w:proofErr w:type="spellStart"/>
            <w:r w:rsidRPr="00871721">
              <w:t>clinker</w:t>
            </w:r>
            <w:proofErr w:type="spellEnd"/>
            <w:r w:rsidRPr="00871721">
              <w:t xml:space="preserve">.  Red de franquicias DISENSA y marca </w:t>
            </w:r>
            <w:proofErr w:type="spellStart"/>
            <w:r w:rsidRPr="00871721">
              <w:t>ConstruRed</w:t>
            </w:r>
            <w:proofErr w:type="spellEnd"/>
            <w:r w:rsidRPr="00871721">
              <w:t xml:space="preserve"> para socios comerciales no franquiciados</w:t>
            </w:r>
          </w:p>
          <w:p w:rsidR="00E627E7" w:rsidRPr="00871721" w:rsidRDefault="00E627E7" w:rsidP="00E02D6F">
            <w:pPr>
              <w:jc w:val="both"/>
            </w:pPr>
          </w:p>
        </w:tc>
        <w:tc>
          <w:tcPr>
            <w:tcW w:w="250" w:type="dxa"/>
          </w:tcPr>
          <w:p w:rsidR="00E627E7" w:rsidRPr="00871721" w:rsidRDefault="00E627E7" w:rsidP="00E02D6F">
            <w:pPr>
              <w:jc w:val="both"/>
            </w:pPr>
          </w:p>
        </w:tc>
      </w:tr>
      <w:tr w:rsidR="00E627E7" w:rsidRPr="00871721" w:rsidTr="00E02D6F">
        <w:trPr>
          <w:cantSplit/>
        </w:trPr>
        <w:tc>
          <w:tcPr>
            <w:tcW w:w="392" w:type="dxa"/>
          </w:tcPr>
          <w:p w:rsidR="00E627E7" w:rsidRPr="00871721" w:rsidRDefault="00E627E7" w:rsidP="00E02D6F">
            <w:pPr>
              <w:jc w:val="both"/>
            </w:pPr>
          </w:p>
        </w:tc>
        <w:tc>
          <w:tcPr>
            <w:tcW w:w="4529" w:type="dxa"/>
            <w:tcBorders>
              <w:left w:val="single" w:sz="6" w:space="0" w:color="000000"/>
            </w:tcBorders>
          </w:tcPr>
          <w:p w:rsidR="00E627E7" w:rsidRPr="00871721" w:rsidRDefault="00E627E7" w:rsidP="00E02D6F">
            <w:pPr>
              <w:jc w:val="both"/>
            </w:pPr>
          </w:p>
        </w:tc>
        <w:tc>
          <w:tcPr>
            <w:tcW w:w="283" w:type="dxa"/>
            <w:tcBorders>
              <w:right w:val="single" w:sz="6" w:space="0" w:color="000000"/>
            </w:tcBorders>
          </w:tcPr>
          <w:p w:rsidR="00E627E7" w:rsidRPr="00871721" w:rsidRDefault="00E627E7" w:rsidP="00E02D6F">
            <w:pPr>
              <w:jc w:val="both"/>
            </w:pPr>
          </w:p>
        </w:tc>
        <w:tc>
          <w:tcPr>
            <w:tcW w:w="4208" w:type="dxa"/>
            <w:tcBorders>
              <w:right w:val="single" w:sz="6" w:space="0" w:color="000000"/>
            </w:tcBorders>
          </w:tcPr>
          <w:p w:rsidR="00E627E7" w:rsidRPr="00871721" w:rsidRDefault="00E627E7" w:rsidP="00E02D6F">
            <w:pPr>
              <w:jc w:val="both"/>
            </w:pPr>
            <w:r w:rsidRPr="00871721">
              <w:t xml:space="preserve">Co-Procesamiento de residuos industriales </w:t>
            </w:r>
          </w:p>
          <w:p w:rsidR="00E627E7" w:rsidRPr="00871721" w:rsidRDefault="00E627E7" w:rsidP="00E02D6F">
            <w:pPr>
              <w:jc w:val="both"/>
            </w:pPr>
          </w:p>
        </w:tc>
        <w:tc>
          <w:tcPr>
            <w:tcW w:w="250" w:type="dxa"/>
          </w:tcPr>
          <w:p w:rsidR="00E627E7" w:rsidRPr="00871721" w:rsidRDefault="00E627E7" w:rsidP="00E02D6F">
            <w:pPr>
              <w:jc w:val="both"/>
            </w:pPr>
          </w:p>
        </w:tc>
      </w:tr>
      <w:tr w:rsidR="00E627E7" w:rsidRPr="00871721" w:rsidTr="00E02D6F">
        <w:trPr>
          <w:cantSplit/>
        </w:trPr>
        <w:tc>
          <w:tcPr>
            <w:tcW w:w="392" w:type="dxa"/>
          </w:tcPr>
          <w:p w:rsidR="00E627E7" w:rsidRPr="00871721" w:rsidRDefault="00E627E7" w:rsidP="00E02D6F">
            <w:pPr>
              <w:jc w:val="both"/>
            </w:pPr>
          </w:p>
        </w:tc>
        <w:tc>
          <w:tcPr>
            <w:tcW w:w="4529" w:type="dxa"/>
            <w:tcBorders>
              <w:left w:val="single" w:sz="6" w:space="0" w:color="000000"/>
              <w:bottom w:val="single" w:sz="6" w:space="0" w:color="000000"/>
            </w:tcBorders>
          </w:tcPr>
          <w:p w:rsidR="00E627E7" w:rsidRPr="00871721" w:rsidRDefault="00E627E7" w:rsidP="00E02D6F">
            <w:pPr>
              <w:jc w:val="both"/>
            </w:pPr>
          </w:p>
          <w:p w:rsidR="00E627E7" w:rsidRPr="00871721" w:rsidRDefault="00E627E7" w:rsidP="00E02D6F">
            <w:pPr>
              <w:jc w:val="both"/>
            </w:pPr>
            <w:proofErr w:type="spellStart"/>
            <w:r w:rsidRPr="00871721">
              <w:t>Holcim</w:t>
            </w:r>
            <w:proofErr w:type="spellEnd"/>
            <w:r w:rsidRPr="00871721">
              <w:t xml:space="preserve"> Modular </w:t>
            </w:r>
            <w:proofErr w:type="spellStart"/>
            <w:r w:rsidRPr="00871721">
              <w:t>Solutions</w:t>
            </w:r>
            <w:proofErr w:type="spellEnd"/>
            <w:r w:rsidRPr="00871721">
              <w:t xml:space="preserve"> S.A. (antes </w:t>
            </w:r>
            <w:proofErr w:type="spellStart"/>
            <w:r w:rsidRPr="00871721">
              <w:t>Construcorp</w:t>
            </w:r>
            <w:proofErr w:type="spellEnd"/>
            <w:r w:rsidRPr="00871721">
              <w:t xml:space="preserve"> y que absorbió por fusión a Tecnología de la Construcción SA)</w:t>
            </w:r>
          </w:p>
        </w:tc>
        <w:tc>
          <w:tcPr>
            <w:tcW w:w="283" w:type="dxa"/>
            <w:tcBorders>
              <w:bottom w:val="single" w:sz="6" w:space="0" w:color="000000"/>
              <w:right w:val="single" w:sz="6" w:space="0" w:color="000000"/>
            </w:tcBorders>
          </w:tcPr>
          <w:p w:rsidR="00E627E7" w:rsidRPr="00871721" w:rsidRDefault="00E627E7" w:rsidP="00E02D6F">
            <w:pPr>
              <w:jc w:val="both"/>
            </w:pPr>
          </w:p>
        </w:tc>
        <w:tc>
          <w:tcPr>
            <w:tcW w:w="4208" w:type="dxa"/>
            <w:tcBorders>
              <w:bottom w:val="single" w:sz="6" w:space="0" w:color="000000"/>
              <w:right w:val="single" w:sz="6" w:space="0" w:color="000000"/>
            </w:tcBorders>
          </w:tcPr>
          <w:p w:rsidR="00E627E7" w:rsidRPr="00871721" w:rsidRDefault="00E627E7" w:rsidP="00E02D6F">
            <w:pPr>
              <w:jc w:val="both"/>
            </w:pPr>
          </w:p>
          <w:p w:rsidR="00E627E7" w:rsidRPr="00871721" w:rsidRDefault="00E627E7" w:rsidP="00E02D6F">
            <w:pPr>
              <w:jc w:val="both"/>
            </w:pPr>
            <w:r w:rsidRPr="00871721">
              <w:t>Producción y comercialización de prefabricado liviano (bloques, adoquines, casas prefabricadas, prefabricado ornamental) y pesado (vigas, columnas, losas y elementos estructurales)</w:t>
            </w:r>
          </w:p>
        </w:tc>
        <w:tc>
          <w:tcPr>
            <w:tcW w:w="250" w:type="dxa"/>
          </w:tcPr>
          <w:p w:rsidR="00E627E7" w:rsidRPr="00871721" w:rsidRDefault="00E627E7" w:rsidP="00E02D6F">
            <w:pPr>
              <w:jc w:val="both"/>
            </w:pPr>
          </w:p>
        </w:tc>
      </w:tr>
    </w:tbl>
    <w:p w:rsidR="00E627E7" w:rsidRPr="00871721" w:rsidRDefault="00E627E7" w:rsidP="00E627E7">
      <w:pPr>
        <w:jc w:val="both"/>
      </w:pPr>
    </w:p>
    <w:p w:rsidR="00E627E7" w:rsidRPr="00871721" w:rsidRDefault="00E627E7" w:rsidP="00E627E7">
      <w:pPr>
        <w:jc w:val="both"/>
      </w:pPr>
    </w:p>
    <w:p w:rsidR="00E627E7" w:rsidRPr="00871721" w:rsidRDefault="00E627E7" w:rsidP="00E627E7">
      <w:pPr>
        <w:jc w:val="both"/>
        <w:rPr>
          <w:b/>
        </w:rPr>
      </w:pPr>
      <w:r w:rsidRPr="00871721">
        <w:rPr>
          <w:b/>
        </w:rPr>
        <w:t xml:space="preserve">Organigrama Corporativo </w:t>
      </w:r>
      <w:proofErr w:type="spellStart"/>
      <w:r w:rsidRPr="00871721">
        <w:rPr>
          <w:b/>
        </w:rPr>
        <w:t>Holcim</w:t>
      </w:r>
      <w:proofErr w:type="spellEnd"/>
      <w:r w:rsidRPr="00871721">
        <w:rPr>
          <w:b/>
        </w:rPr>
        <w:t xml:space="preserve"> (Costa Rica), S.A.</w:t>
      </w:r>
    </w:p>
    <w:p w:rsidR="00E627E7" w:rsidRPr="00871721" w:rsidRDefault="00E627E7" w:rsidP="00E627E7">
      <w:pPr>
        <w:jc w:val="both"/>
      </w:pPr>
    </w:p>
    <w:p w:rsidR="00E627E7" w:rsidRPr="00871721" w:rsidRDefault="00E627E7" w:rsidP="00E627E7">
      <w:pPr>
        <w:jc w:val="both"/>
      </w:pPr>
      <w:r w:rsidRPr="00871721">
        <w:t xml:space="preserve">El siguiente organigrama muestra la estructura organizativa en </w:t>
      </w:r>
      <w:r>
        <w:t xml:space="preserve">septiembre </w:t>
      </w:r>
      <w:r w:rsidRPr="00871721">
        <w:t>202</w:t>
      </w:r>
      <w:r>
        <w:t>4</w:t>
      </w:r>
      <w:r w:rsidRPr="00871721">
        <w:t xml:space="preserve"> del grupo, el cual sirve de complemento al detalle de la dirección de la empresa que se presenta en la sección “Miembros de la Junta Directiva y Dirección Ejecutiva” más adelante en este prospecto:</w:t>
      </w:r>
    </w:p>
    <w:p w:rsidR="00E627E7" w:rsidRPr="00871721" w:rsidRDefault="00E627E7" w:rsidP="00E627E7">
      <w:pPr>
        <w:jc w:val="center"/>
      </w:pPr>
    </w:p>
    <w:p w:rsidR="00E627E7" w:rsidRPr="00871721" w:rsidRDefault="00E627E7" w:rsidP="00E627E7">
      <w:pPr>
        <w:jc w:val="center"/>
      </w:pPr>
    </w:p>
    <w:p w:rsidR="00E627E7" w:rsidRPr="0023565C" w:rsidRDefault="00E627E7" w:rsidP="00E627E7">
      <w:pPr>
        <w:jc w:val="center"/>
        <w:rPr>
          <w:lang w:val="es-CR"/>
        </w:rPr>
      </w:pPr>
      <w:r>
        <w:rPr>
          <w:noProof/>
          <w:lang w:val="es-CR"/>
        </w:rPr>
        <w:drawing>
          <wp:inline distT="0" distB="0" distL="0" distR="0" wp14:anchorId="1D184C9F" wp14:editId="48402975">
            <wp:extent cx="5537200" cy="3114533"/>
            <wp:effectExtent l="0" t="0" r="635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mité País Holcim Costa Rica (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40883" cy="3116604"/>
                    </a:xfrm>
                    <a:prstGeom prst="rect">
                      <a:avLst/>
                    </a:prstGeom>
                  </pic:spPr>
                </pic:pic>
              </a:graphicData>
            </a:graphic>
          </wp:inline>
        </w:drawing>
      </w:r>
    </w:p>
    <w:p w:rsidR="00E627E7" w:rsidRPr="00871721" w:rsidRDefault="00E627E7" w:rsidP="00E627E7">
      <w:pPr>
        <w:jc w:val="center"/>
      </w:pPr>
    </w:p>
    <w:p w:rsidR="00E627E7" w:rsidRDefault="00E627E7" w:rsidP="00E627E7">
      <w:pPr>
        <w:jc w:val="both"/>
        <w:rPr>
          <w:b/>
        </w:rPr>
      </w:pPr>
    </w:p>
    <w:p w:rsidR="00E627E7" w:rsidRPr="00871721" w:rsidRDefault="00E627E7" w:rsidP="00E627E7">
      <w:pPr>
        <w:jc w:val="both"/>
        <w:rPr>
          <w:b/>
        </w:rPr>
      </w:pPr>
      <w:r w:rsidRPr="00871721">
        <w:rPr>
          <w:b/>
        </w:rPr>
        <w:t>Participación en otras empresas</w:t>
      </w:r>
    </w:p>
    <w:p w:rsidR="00E627E7" w:rsidRPr="00871721" w:rsidRDefault="00E627E7" w:rsidP="00E627E7">
      <w:pPr>
        <w:jc w:val="both"/>
        <w:rPr>
          <w:b/>
        </w:rPr>
      </w:pPr>
    </w:p>
    <w:p w:rsidR="00E627E7" w:rsidRPr="00871721" w:rsidRDefault="00E627E7" w:rsidP="00E627E7">
      <w:pPr>
        <w:jc w:val="both"/>
      </w:pPr>
      <w:r w:rsidRPr="00871721">
        <w:t xml:space="preserve">El cuadro siguiente muestra la participación de </w:t>
      </w:r>
      <w:proofErr w:type="spellStart"/>
      <w:r w:rsidRPr="00871721">
        <w:t>Holcim</w:t>
      </w:r>
      <w:proofErr w:type="spellEnd"/>
      <w:r w:rsidRPr="00871721">
        <w:t xml:space="preserve"> (Costa Rica), S.A. en el capital de otras empresas:  </w:t>
      </w:r>
    </w:p>
    <w:p w:rsidR="00E627E7" w:rsidRPr="00871721" w:rsidRDefault="00E627E7" w:rsidP="00E627E7">
      <w:pPr>
        <w:jc w:val="both"/>
      </w:pPr>
    </w:p>
    <w:p w:rsidR="00E627E7" w:rsidRPr="00871721" w:rsidRDefault="00E627E7" w:rsidP="00E627E7">
      <w:pPr>
        <w:jc w:val="both"/>
      </w:pPr>
    </w:p>
    <w:tbl>
      <w:tblPr>
        <w:tblW w:w="9889" w:type="dxa"/>
        <w:tblLayout w:type="fixed"/>
        <w:tblLook w:val="0000" w:firstRow="0" w:lastRow="0" w:firstColumn="0" w:lastColumn="0" w:noHBand="0" w:noVBand="0"/>
      </w:tblPr>
      <w:tblGrid>
        <w:gridCol w:w="4361"/>
        <w:gridCol w:w="1983"/>
        <w:gridCol w:w="3545"/>
      </w:tblGrid>
      <w:tr w:rsidR="00E627E7" w:rsidRPr="00871721" w:rsidTr="00E02D6F">
        <w:trPr>
          <w:cantSplit/>
        </w:trPr>
        <w:tc>
          <w:tcPr>
            <w:tcW w:w="4361" w:type="dxa"/>
            <w:tcBorders>
              <w:top w:val="single" w:sz="4" w:space="0" w:color="000000"/>
              <w:left w:val="single" w:sz="4" w:space="0" w:color="000000"/>
              <w:right w:val="single" w:sz="6" w:space="0" w:color="000000"/>
            </w:tcBorders>
          </w:tcPr>
          <w:p w:rsidR="00E627E7" w:rsidRPr="00871721" w:rsidRDefault="00E627E7" w:rsidP="00E02D6F">
            <w:pPr>
              <w:jc w:val="center"/>
              <w:rPr>
                <w:b/>
              </w:rPr>
            </w:pPr>
            <w:r w:rsidRPr="00871721">
              <w:rPr>
                <w:b/>
              </w:rPr>
              <w:t>EMPRESA</w:t>
            </w:r>
          </w:p>
        </w:tc>
        <w:tc>
          <w:tcPr>
            <w:tcW w:w="1983" w:type="dxa"/>
            <w:tcBorders>
              <w:top w:val="single" w:sz="4" w:space="0" w:color="000000"/>
              <w:right w:val="single" w:sz="6" w:space="0" w:color="000000"/>
            </w:tcBorders>
          </w:tcPr>
          <w:p w:rsidR="00E627E7" w:rsidRPr="00871721" w:rsidRDefault="00E627E7" w:rsidP="00E02D6F">
            <w:pPr>
              <w:jc w:val="center"/>
              <w:rPr>
                <w:b/>
              </w:rPr>
            </w:pPr>
            <w:r w:rsidRPr="00871721">
              <w:rPr>
                <w:b/>
              </w:rPr>
              <w:t>PARTICIPACION</w:t>
            </w:r>
          </w:p>
        </w:tc>
        <w:tc>
          <w:tcPr>
            <w:tcW w:w="3545" w:type="dxa"/>
            <w:tcBorders>
              <w:top w:val="single" w:sz="4" w:space="0" w:color="000000"/>
              <w:right w:val="single" w:sz="4" w:space="0" w:color="000000"/>
            </w:tcBorders>
          </w:tcPr>
          <w:p w:rsidR="00E627E7" w:rsidRPr="00871721" w:rsidRDefault="00E627E7" w:rsidP="00E02D6F">
            <w:pPr>
              <w:jc w:val="center"/>
              <w:rPr>
                <w:b/>
              </w:rPr>
            </w:pPr>
            <w:r w:rsidRPr="00871721">
              <w:rPr>
                <w:b/>
              </w:rPr>
              <w:t>ACTIVIDAD</w:t>
            </w:r>
          </w:p>
        </w:tc>
      </w:tr>
      <w:tr w:rsidR="00E627E7" w:rsidRPr="00871721" w:rsidTr="00E02D6F">
        <w:trPr>
          <w:cantSplit/>
        </w:trPr>
        <w:tc>
          <w:tcPr>
            <w:tcW w:w="4361" w:type="dxa"/>
            <w:tcBorders>
              <w:left w:val="single" w:sz="4" w:space="0" w:color="000000"/>
              <w:bottom w:val="single" w:sz="6" w:space="0" w:color="000000"/>
              <w:right w:val="single" w:sz="6" w:space="0" w:color="000000"/>
            </w:tcBorders>
          </w:tcPr>
          <w:p w:rsidR="00E627E7" w:rsidRPr="00871721" w:rsidRDefault="00E627E7" w:rsidP="00E02D6F">
            <w:pPr>
              <w:jc w:val="both"/>
            </w:pPr>
          </w:p>
        </w:tc>
        <w:tc>
          <w:tcPr>
            <w:tcW w:w="1983" w:type="dxa"/>
            <w:tcBorders>
              <w:bottom w:val="single" w:sz="6" w:space="0" w:color="000000"/>
              <w:right w:val="single" w:sz="6" w:space="0" w:color="000000"/>
            </w:tcBorders>
          </w:tcPr>
          <w:p w:rsidR="00E627E7" w:rsidRPr="00871721" w:rsidRDefault="00E627E7" w:rsidP="00E02D6F">
            <w:pPr>
              <w:jc w:val="center"/>
            </w:pPr>
          </w:p>
        </w:tc>
        <w:tc>
          <w:tcPr>
            <w:tcW w:w="3545" w:type="dxa"/>
            <w:tcBorders>
              <w:bottom w:val="single" w:sz="6" w:space="0" w:color="000000"/>
              <w:right w:val="single" w:sz="4" w:space="0" w:color="000000"/>
            </w:tcBorders>
          </w:tcPr>
          <w:p w:rsidR="00E627E7" w:rsidRPr="00871721" w:rsidRDefault="00E627E7" w:rsidP="00E02D6F">
            <w:pPr>
              <w:jc w:val="both"/>
            </w:pPr>
          </w:p>
        </w:tc>
      </w:tr>
      <w:tr w:rsidR="00E627E7" w:rsidRPr="00871721" w:rsidTr="00E02D6F">
        <w:trPr>
          <w:cantSplit/>
          <w:trHeight w:val="178"/>
        </w:trPr>
        <w:tc>
          <w:tcPr>
            <w:tcW w:w="4361" w:type="dxa"/>
            <w:tcBorders>
              <w:left w:val="single" w:sz="4" w:space="0" w:color="000000"/>
              <w:bottom w:val="single" w:sz="6" w:space="0" w:color="000000"/>
              <w:right w:val="single" w:sz="6" w:space="0" w:color="000000"/>
            </w:tcBorders>
          </w:tcPr>
          <w:p w:rsidR="00E627E7" w:rsidRPr="003D0FFF" w:rsidRDefault="00E627E7" w:rsidP="00E02D6F">
            <w:pPr>
              <w:jc w:val="both"/>
              <w:rPr>
                <w:lang w:val="en-US"/>
              </w:rPr>
            </w:pPr>
            <w:r w:rsidRPr="003D0FFF">
              <w:rPr>
                <w:lang w:val="en-US"/>
              </w:rPr>
              <w:t>Holcim Modular Solutions S.A.</w:t>
            </w:r>
          </w:p>
          <w:p w:rsidR="00E627E7" w:rsidRPr="003D0FFF" w:rsidRDefault="00E627E7" w:rsidP="00E02D6F">
            <w:pPr>
              <w:jc w:val="both"/>
              <w:rPr>
                <w:lang w:val="en-US"/>
              </w:rPr>
            </w:pPr>
          </w:p>
        </w:tc>
        <w:tc>
          <w:tcPr>
            <w:tcW w:w="1983" w:type="dxa"/>
            <w:tcBorders>
              <w:bottom w:val="single" w:sz="6" w:space="0" w:color="000000"/>
              <w:right w:val="single" w:sz="6" w:space="0" w:color="000000"/>
            </w:tcBorders>
          </w:tcPr>
          <w:p w:rsidR="00E627E7" w:rsidRPr="00871721" w:rsidRDefault="00E627E7" w:rsidP="00E02D6F">
            <w:pPr>
              <w:jc w:val="center"/>
            </w:pPr>
            <w:r w:rsidRPr="00871721">
              <w:t>100%</w:t>
            </w:r>
          </w:p>
        </w:tc>
        <w:tc>
          <w:tcPr>
            <w:tcW w:w="3545" w:type="dxa"/>
            <w:tcBorders>
              <w:bottom w:val="single" w:sz="6" w:space="0" w:color="000000"/>
              <w:right w:val="single" w:sz="4" w:space="0" w:color="000000"/>
            </w:tcBorders>
          </w:tcPr>
          <w:p w:rsidR="00E627E7" w:rsidRPr="00871721" w:rsidRDefault="00E627E7" w:rsidP="00E02D6F">
            <w:pPr>
              <w:jc w:val="both"/>
            </w:pPr>
            <w:r w:rsidRPr="00871721">
              <w:t>Producción y comercialización de prefabricado liviano (bloques, adoquines, casas prefabricadas, prefabricado ornamental) Prefabricado pesado</w:t>
            </w:r>
          </w:p>
          <w:p w:rsidR="00E627E7" w:rsidRPr="00871721" w:rsidRDefault="00E627E7" w:rsidP="00E02D6F">
            <w:pPr>
              <w:jc w:val="both"/>
            </w:pPr>
          </w:p>
        </w:tc>
      </w:tr>
      <w:tr w:rsidR="00E627E7" w:rsidRPr="00871721" w:rsidTr="00E02D6F">
        <w:trPr>
          <w:cantSplit/>
        </w:trPr>
        <w:tc>
          <w:tcPr>
            <w:tcW w:w="4361" w:type="dxa"/>
            <w:tcBorders>
              <w:left w:val="single" w:sz="4" w:space="0" w:color="000000"/>
              <w:bottom w:val="single" w:sz="6" w:space="0" w:color="000000"/>
              <w:right w:val="single" w:sz="6" w:space="0" w:color="000000"/>
            </w:tcBorders>
          </w:tcPr>
          <w:p w:rsidR="00E627E7" w:rsidRPr="00871721" w:rsidRDefault="00E627E7" w:rsidP="00E02D6F">
            <w:pPr>
              <w:jc w:val="both"/>
            </w:pPr>
            <w:proofErr w:type="spellStart"/>
            <w:r w:rsidRPr="00871721">
              <w:t>Holcim</w:t>
            </w:r>
            <w:proofErr w:type="spellEnd"/>
            <w:r w:rsidRPr="00871721">
              <w:t xml:space="preserve"> Nicaragua, S.A.</w:t>
            </w:r>
          </w:p>
        </w:tc>
        <w:tc>
          <w:tcPr>
            <w:tcW w:w="1983" w:type="dxa"/>
            <w:tcBorders>
              <w:bottom w:val="single" w:sz="6" w:space="0" w:color="000000"/>
              <w:right w:val="single" w:sz="6" w:space="0" w:color="000000"/>
            </w:tcBorders>
          </w:tcPr>
          <w:p w:rsidR="00E627E7" w:rsidRPr="00871721" w:rsidRDefault="00E627E7" w:rsidP="00E02D6F">
            <w:pPr>
              <w:jc w:val="center"/>
            </w:pPr>
            <w:r w:rsidRPr="00871721">
              <w:t>80%</w:t>
            </w:r>
          </w:p>
        </w:tc>
        <w:tc>
          <w:tcPr>
            <w:tcW w:w="3545" w:type="dxa"/>
            <w:tcBorders>
              <w:bottom w:val="single" w:sz="6" w:space="0" w:color="000000"/>
              <w:right w:val="single" w:sz="4" w:space="0" w:color="000000"/>
            </w:tcBorders>
          </w:tcPr>
          <w:p w:rsidR="00E627E7" w:rsidRPr="00871721" w:rsidRDefault="00E627E7" w:rsidP="00E02D6F">
            <w:pPr>
              <w:jc w:val="both"/>
            </w:pPr>
            <w:r w:rsidRPr="00871721">
              <w:t>Molienda y comercialización de cemento, así como venta de agregados y concreto premezclado</w:t>
            </w:r>
          </w:p>
        </w:tc>
      </w:tr>
    </w:tbl>
    <w:p w:rsidR="00E627E7" w:rsidRPr="00871721" w:rsidRDefault="00E627E7" w:rsidP="00E627E7">
      <w:pPr>
        <w:jc w:val="both"/>
      </w:pPr>
    </w:p>
    <w:p w:rsidR="00E627E7" w:rsidRPr="00871721" w:rsidRDefault="00E627E7" w:rsidP="00E627E7">
      <w:pPr>
        <w:jc w:val="both"/>
      </w:pPr>
      <w:r w:rsidRPr="00871721">
        <w:t>A continuación, se detallan los porcentajes de participación de cada una de las empresas</w:t>
      </w:r>
      <w:r>
        <w:t xml:space="preserve"> </w:t>
      </w:r>
      <w:r w:rsidRPr="00871721">
        <w:t>en los resultados de la compañía, tanto en lo correspondiente a los gastos como a los ingresos.</w:t>
      </w:r>
    </w:p>
    <w:p w:rsidR="00E627E7" w:rsidRPr="00871721" w:rsidRDefault="00E627E7" w:rsidP="00E627E7">
      <w:pPr>
        <w:jc w:val="both"/>
      </w:pPr>
    </w:p>
    <w:p w:rsidR="00E627E7" w:rsidRPr="00871721" w:rsidRDefault="00E627E7" w:rsidP="00E627E7">
      <w:pPr>
        <w:rPr>
          <w:color w:val="263238"/>
          <w:sz w:val="20"/>
          <w:szCs w:val="20"/>
        </w:rPr>
      </w:pPr>
    </w:p>
    <w:p w:rsidR="00E627E7" w:rsidRDefault="00E627E7" w:rsidP="00E627E7">
      <w:pPr>
        <w:rPr>
          <w:color w:val="263238"/>
          <w:sz w:val="20"/>
          <w:szCs w:val="20"/>
        </w:rPr>
      </w:pPr>
    </w:p>
    <w:tbl>
      <w:tblPr>
        <w:tblW w:w="7655" w:type="dxa"/>
        <w:tblInd w:w="-10" w:type="dxa"/>
        <w:tblCellMar>
          <w:left w:w="70" w:type="dxa"/>
          <w:right w:w="70" w:type="dxa"/>
        </w:tblCellMar>
        <w:tblLook w:val="04A0" w:firstRow="1" w:lastRow="0" w:firstColumn="1" w:lastColumn="0" w:noHBand="0" w:noVBand="1"/>
      </w:tblPr>
      <w:tblGrid>
        <w:gridCol w:w="1540"/>
        <w:gridCol w:w="1579"/>
        <w:gridCol w:w="1417"/>
        <w:gridCol w:w="1418"/>
        <w:gridCol w:w="1701"/>
      </w:tblGrid>
      <w:tr w:rsidR="00E627E7" w:rsidRPr="0023565C" w:rsidTr="00E02D6F">
        <w:trPr>
          <w:trHeight w:val="780"/>
        </w:trPr>
        <w:tc>
          <w:tcPr>
            <w:tcW w:w="1540" w:type="dxa"/>
            <w:tcBorders>
              <w:top w:val="single" w:sz="8" w:space="0" w:color="auto"/>
              <w:left w:val="single" w:sz="8" w:space="0" w:color="auto"/>
              <w:bottom w:val="nil"/>
              <w:right w:val="nil"/>
            </w:tcBorders>
            <w:shd w:val="clear" w:color="000000" w:fill="FFFFFF"/>
            <w:vAlign w:val="center"/>
            <w:hideMark/>
          </w:tcPr>
          <w:p w:rsidR="00E627E7" w:rsidRPr="0023565C" w:rsidRDefault="00E627E7" w:rsidP="00E02D6F">
            <w:pPr>
              <w:rPr>
                <w:rFonts w:eastAsia="Times New Roman"/>
                <w:color w:val="000000"/>
                <w:lang w:val="es-CR"/>
              </w:rPr>
            </w:pPr>
            <w:r w:rsidRPr="0023565C">
              <w:rPr>
                <w:rFonts w:eastAsia="Times New Roman"/>
                <w:color w:val="000000"/>
              </w:rPr>
              <w:t> </w:t>
            </w:r>
          </w:p>
        </w:tc>
        <w:tc>
          <w:tcPr>
            <w:tcW w:w="1579" w:type="dxa"/>
            <w:tcBorders>
              <w:top w:val="single" w:sz="8" w:space="0" w:color="auto"/>
              <w:left w:val="nil"/>
              <w:bottom w:val="nil"/>
              <w:right w:val="nil"/>
            </w:tcBorders>
            <w:shd w:val="clear" w:color="000000" w:fill="FFFFFF"/>
            <w:vAlign w:val="center"/>
            <w:hideMark/>
          </w:tcPr>
          <w:p w:rsidR="00E627E7" w:rsidRPr="0023565C" w:rsidRDefault="00E627E7" w:rsidP="00E02D6F">
            <w:pPr>
              <w:jc w:val="center"/>
              <w:rPr>
                <w:rFonts w:eastAsia="Times New Roman"/>
                <w:b/>
                <w:bCs/>
                <w:color w:val="000000"/>
                <w:sz w:val="20"/>
                <w:szCs w:val="20"/>
                <w:lang w:val="es-CR"/>
              </w:rPr>
            </w:pPr>
            <w:proofErr w:type="spellStart"/>
            <w:r w:rsidRPr="0023565C">
              <w:rPr>
                <w:rFonts w:eastAsia="Times New Roman"/>
                <w:b/>
                <w:bCs/>
                <w:color w:val="000000"/>
                <w:sz w:val="20"/>
                <w:szCs w:val="20"/>
              </w:rPr>
              <w:t>Holcim</w:t>
            </w:r>
            <w:proofErr w:type="spellEnd"/>
            <w:r w:rsidRPr="0023565C">
              <w:rPr>
                <w:rFonts w:eastAsia="Times New Roman"/>
                <w:b/>
                <w:bCs/>
                <w:color w:val="000000"/>
                <w:sz w:val="20"/>
                <w:szCs w:val="20"/>
              </w:rPr>
              <w:t xml:space="preserve"> CRI (*)</w:t>
            </w:r>
          </w:p>
        </w:tc>
        <w:tc>
          <w:tcPr>
            <w:tcW w:w="1417" w:type="dxa"/>
            <w:tcBorders>
              <w:top w:val="single" w:sz="8" w:space="0" w:color="auto"/>
              <w:left w:val="nil"/>
              <w:bottom w:val="nil"/>
              <w:right w:val="nil"/>
            </w:tcBorders>
            <w:shd w:val="clear" w:color="000000" w:fill="FFFFFF"/>
            <w:vAlign w:val="center"/>
            <w:hideMark/>
          </w:tcPr>
          <w:p w:rsidR="00E627E7" w:rsidRPr="0023565C" w:rsidRDefault="00E627E7" w:rsidP="00E02D6F">
            <w:pPr>
              <w:jc w:val="center"/>
              <w:rPr>
                <w:rFonts w:eastAsia="Times New Roman"/>
                <w:b/>
                <w:bCs/>
                <w:color w:val="000000"/>
                <w:sz w:val="20"/>
                <w:szCs w:val="20"/>
                <w:lang w:val="es-CR"/>
              </w:rPr>
            </w:pPr>
            <w:proofErr w:type="spellStart"/>
            <w:r w:rsidRPr="0023565C">
              <w:rPr>
                <w:rFonts w:eastAsia="Times New Roman"/>
                <w:b/>
                <w:bCs/>
                <w:color w:val="000000"/>
                <w:sz w:val="20"/>
                <w:szCs w:val="20"/>
              </w:rPr>
              <w:t>Holcim</w:t>
            </w:r>
            <w:proofErr w:type="spellEnd"/>
            <w:r w:rsidRPr="0023565C">
              <w:rPr>
                <w:rFonts w:eastAsia="Times New Roman"/>
                <w:b/>
                <w:bCs/>
                <w:color w:val="000000"/>
                <w:sz w:val="20"/>
                <w:szCs w:val="20"/>
              </w:rPr>
              <w:t xml:space="preserve"> Modular </w:t>
            </w:r>
            <w:proofErr w:type="spellStart"/>
            <w:r w:rsidRPr="0023565C">
              <w:rPr>
                <w:rFonts w:eastAsia="Times New Roman"/>
                <w:b/>
                <w:bCs/>
                <w:color w:val="000000"/>
                <w:sz w:val="20"/>
                <w:szCs w:val="20"/>
              </w:rPr>
              <w:t>Solutions</w:t>
            </w:r>
            <w:proofErr w:type="spellEnd"/>
          </w:p>
        </w:tc>
        <w:tc>
          <w:tcPr>
            <w:tcW w:w="1418" w:type="dxa"/>
            <w:tcBorders>
              <w:top w:val="single" w:sz="8" w:space="0" w:color="auto"/>
              <w:left w:val="nil"/>
              <w:bottom w:val="nil"/>
              <w:right w:val="nil"/>
            </w:tcBorders>
            <w:shd w:val="clear" w:color="000000" w:fill="FFFFFF"/>
            <w:vAlign w:val="center"/>
            <w:hideMark/>
          </w:tcPr>
          <w:p w:rsidR="00E627E7" w:rsidRPr="0023565C" w:rsidRDefault="00E627E7" w:rsidP="00E02D6F">
            <w:pPr>
              <w:jc w:val="center"/>
              <w:rPr>
                <w:rFonts w:eastAsia="Times New Roman"/>
                <w:b/>
                <w:bCs/>
                <w:color w:val="000000"/>
                <w:sz w:val="20"/>
                <w:szCs w:val="20"/>
                <w:lang w:val="es-CR"/>
              </w:rPr>
            </w:pPr>
            <w:proofErr w:type="spellStart"/>
            <w:r w:rsidRPr="0023565C">
              <w:rPr>
                <w:rFonts w:eastAsia="Times New Roman"/>
                <w:b/>
                <w:bCs/>
                <w:color w:val="000000"/>
                <w:sz w:val="20"/>
                <w:szCs w:val="20"/>
              </w:rPr>
              <w:t>Holcim</w:t>
            </w:r>
            <w:proofErr w:type="spellEnd"/>
            <w:r w:rsidRPr="0023565C">
              <w:rPr>
                <w:rFonts w:eastAsia="Times New Roman"/>
                <w:b/>
                <w:bCs/>
                <w:color w:val="000000"/>
                <w:sz w:val="20"/>
                <w:szCs w:val="20"/>
              </w:rPr>
              <w:t xml:space="preserve"> NIC</w:t>
            </w:r>
          </w:p>
        </w:tc>
        <w:tc>
          <w:tcPr>
            <w:tcW w:w="1701" w:type="dxa"/>
            <w:tcBorders>
              <w:top w:val="single" w:sz="8" w:space="0" w:color="auto"/>
              <w:left w:val="nil"/>
              <w:bottom w:val="nil"/>
              <w:right w:val="single" w:sz="8" w:space="0" w:color="auto"/>
            </w:tcBorders>
            <w:shd w:val="clear" w:color="000000" w:fill="FFFFFF"/>
            <w:vAlign w:val="center"/>
            <w:hideMark/>
          </w:tcPr>
          <w:p w:rsidR="00E627E7" w:rsidRPr="0023565C" w:rsidRDefault="00E627E7" w:rsidP="00E02D6F">
            <w:pPr>
              <w:jc w:val="center"/>
              <w:rPr>
                <w:rFonts w:eastAsia="Times New Roman"/>
                <w:b/>
                <w:bCs/>
                <w:color w:val="000000"/>
                <w:sz w:val="20"/>
                <w:szCs w:val="20"/>
                <w:lang w:val="es-CR"/>
              </w:rPr>
            </w:pPr>
            <w:r w:rsidRPr="0023565C">
              <w:rPr>
                <w:rFonts w:eastAsia="Times New Roman"/>
                <w:b/>
                <w:bCs/>
                <w:color w:val="000000"/>
                <w:sz w:val="20"/>
                <w:szCs w:val="20"/>
              </w:rPr>
              <w:t>Consolidado</w:t>
            </w:r>
          </w:p>
        </w:tc>
      </w:tr>
      <w:tr w:rsidR="00E627E7" w:rsidRPr="0023565C" w:rsidTr="00E02D6F">
        <w:trPr>
          <w:trHeight w:val="290"/>
        </w:trPr>
        <w:tc>
          <w:tcPr>
            <w:tcW w:w="1540" w:type="dxa"/>
            <w:tcBorders>
              <w:top w:val="nil"/>
              <w:left w:val="single" w:sz="8" w:space="0" w:color="auto"/>
              <w:bottom w:val="nil"/>
              <w:right w:val="nil"/>
            </w:tcBorders>
            <w:shd w:val="clear" w:color="000000" w:fill="FFFFFF"/>
            <w:vAlign w:val="center"/>
            <w:hideMark/>
          </w:tcPr>
          <w:p w:rsidR="00E627E7" w:rsidRPr="0023565C" w:rsidRDefault="00E627E7" w:rsidP="00E02D6F">
            <w:pPr>
              <w:rPr>
                <w:rFonts w:eastAsia="Times New Roman"/>
                <w:b/>
                <w:bCs/>
                <w:color w:val="000000"/>
                <w:sz w:val="18"/>
                <w:szCs w:val="18"/>
                <w:lang w:val="es-CR"/>
              </w:rPr>
            </w:pPr>
            <w:r w:rsidRPr="0023565C">
              <w:rPr>
                <w:rFonts w:eastAsia="Times New Roman"/>
                <w:b/>
                <w:bCs/>
                <w:color w:val="000000"/>
                <w:sz w:val="18"/>
                <w:szCs w:val="18"/>
              </w:rPr>
              <w:t>Ingreso</w:t>
            </w:r>
          </w:p>
        </w:tc>
        <w:tc>
          <w:tcPr>
            <w:tcW w:w="1579" w:type="dxa"/>
            <w:tcBorders>
              <w:top w:val="nil"/>
              <w:left w:val="nil"/>
              <w:bottom w:val="nil"/>
              <w:right w:val="nil"/>
            </w:tcBorders>
            <w:shd w:val="clear" w:color="auto" w:fill="auto"/>
            <w:vAlign w:val="center"/>
            <w:hideMark/>
          </w:tcPr>
          <w:p w:rsidR="00E627E7" w:rsidRPr="0023565C" w:rsidRDefault="00E627E7" w:rsidP="00E02D6F">
            <w:pPr>
              <w:jc w:val="right"/>
              <w:rPr>
                <w:rFonts w:eastAsia="Times New Roman"/>
                <w:color w:val="000000"/>
                <w:sz w:val="18"/>
                <w:szCs w:val="18"/>
                <w:lang w:val="es-CR"/>
              </w:rPr>
            </w:pPr>
            <w:r w:rsidRPr="0023565C">
              <w:rPr>
                <w:rFonts w:eastAsia="Times New Roman"/>
                <w:color w:val="000000"/>
                <w:sz w:val="18"/>
                <w:szCs w:val="18"/>
              </w:rPr>
              <w:t xml:space="preserve">       63 227 471 </w:t>
            </w:r>
          </w:p>
        </w:tc>
        <w:tc>
          <w:tcPr>
            <w:tcW w:w="1417" w:type="dxa"/>
            <w:tcBorders>
              <w:top w:val="nil"/>
              <w:left w:val="nil"/>
              <w:bottom w:val="nil"/>
              <w:right w:val="nil"/>
            </w:tcBorders>
            <w:shd w:val="clear" w:color="auto" w:fill="auto"/>
            <w:vAlign w:val="center"/>
            <w:hideMark/>
          </w:tcPr>
          <w:p w:rsidR="00E627E7" w:rsidRPr="0023565C" w:rsidRDefault="00E627E7" w:rsidP="00E02D6F">
            <w:pPr>
              <w:jc w:val="right"/>
              <w:rPr>
                <w:rFonts w:eastAsia="Times New Roman"/>
                <w:color w:val="000000"/>
                <w:sz w:val="18"/>
                <w:szCs w:val="18"/>
                <w:lang w:val="es-CR"/>
              </w:rPr>
            </w:pPr>
            <w:r w:rsidRPr="0023565C">
              <w:rPr>
                <w:rFonts w:eastAsia="Times New Roman"/>
                <w:color w:val="000000"/>
                <w:sz w:val="18"/>
                <w:szCs w:val="18"/>
              </w:rPr>
              <w:t xml:space="preserve">     9 621 129 </w:t>
            </w:r>
          </w:p>
        </w:tc>
        <w:tc>
          <w:tcPr>
            <w:tcW w:w="1418" w:type="dxa"/>
            <w:tcBorders>
              <w:top w:val="nil"/>
              <w:left w:val="nil"/>
              <w:bottom w:val="nil"/>
              <w:right w:val="nil"/>
            </w:tcBorders>
            <w:shd w:val="clear" w:color="auto" w:fill="auto"/>
            <w:vAlign w:val="center"/>
            <w:hideMark/>
          </w:tcPr>
          <w:p w:rsidR="00E627E7" w:rsidRPr="0023565C" w:rsidRDefault="00E627E7" w:rsidP="00E02D6F">
            <w:pPr>
              <w:jc w:val="right"/>
              <w:rPr>
                <w:rFonts w:eastAsia="Times New Roman"/>
                <w:color w:val="000000"/>
                <w:sz w:val="18"/>
                <w:szCs w:val="18"/>
                <w:lang w:val="es-CR"/>
              </w:rPr>
            </w:pPr>
            <w:r w:rsidRPr="0023565C">
              <w:rPr>
                <w:rFonts w:eastAsia="Times New Roman"/>
                <w:color w:val="000000"/>
                <w:sz w:val="18"/>
                <w:szCs w:val="18"/>
              </w:rPr>
              <w:t xml:space="preserve">   54 206 652 </w:t>
            </w:r>
          </w:p>
        </w:tc>
        <w:tc>
          <w:tcPr>
            <w:tcW w:w="1701" w:type="dxa"/>
            <w:tcBorders>
              <w:top w:val="nil"/>
              <w:left w:val="nil"/>
              <w:bottom w:val="nil"/>
              <w:right w:val="single" w:sz="8" w:space="0" w:color="auto"/>
            </w:tcBorders>
            <w:shd w:val="clear" w:color="auto" w:fill="auto"/>
            <w:vAlign w:val="center"/>
            <w:hideMark/>
          </w:tcPr>
          <w:p w:rsidR="00E627E7" w:rsidRPr="0023565C" w:rsidRDefault="00E627E7" w:rsidP="00E02D6F">
            <w:pPr>
              <w:jc w:val="right"/>
              <w:rPr>
                <w:rFonts w:eastAsia="Times New Roman"/>
                <w:color w:val="000000"/>
                <w:sz w:val="18"/>
                <w:szCs w:val="18"/>
                <w:lang w:val="es-CR"/>
              </w:rPr>
            </w:pPr>
            <w:r w:rsidRPr="0023565C">
              <w:rPr>
                <w:rFonts w:eastAsia="Times New Roman"/>
                <w:color w:val="000000"/>
                <w:sz w:val="18"/>
                <w:szCs w:val="18"/>
              </w:rPr>
              <w:t xml:space="preserve">      127 055 252 </w:t>
            </w:r>
          </w:p>
        </w:tc>
      </w:tr>
      <w:tr w:rsidR="00E627E7" w:rsidRPr="0023565C" w:rsidTr="00E02D6F">
        <w:trPr>
          <w:trHeight w:val="290"/>
        </w:trPr>
        <w:tc>
          <w:tcPr>
            <w:tcW w:w="1540" w:type="dxa"/>
            <w:tcBorders>
              <w:top w:val="nil"/>
              <w:left w:val="single" w:sz="8" w:space="0" w:color="auto"/>
              <w:bottom w:val="nil"/>
              <w:right w:val="nil"/>
            </w:tcBorders>
            <w:shd w:val="clear" w:color="000000" w:fill="FFFFFF"/>
            <w:vAlign w:val="center"/>
            <w:hideMark/>
          </w:tcPr>
          <w:p w:rsidR="00E627E7" w:rsidRPr="0023565C" w:rsidRDefault="00E627E7" w:rsidP="00E02D6F">
            <w:pPr>
              <w:jc w:val="center"/>
              <w:rPr>
                <w:rFonts w:eastAsia="Times New Roman"/>
                <w:b/>
                <w:bCs/>
                <w:color w:val="000000"/>
                <w:sz w:val="18"/>
                <w:szCs w:val="18"/>
                <w:lang w:val="es-CR"/>
              </w:rPr>
            </w:pPr>
            <w:r w:rsidRPr="0023565C">
              <w:rPr>
                <w:rFonts w:eastAsia="Times New Roman"/>
                <w:b/>
                <w:bCs/>
                <w:color w:val="000000"/>
                <w:sz w:val="18"/>
                <w:szCs w:val="18"/>
              </w:rPr>
              <w:t>%</w:t>
            </w:r>
          </w:p>
        </w:tc>
        <w:tc>
          <w:tcPr>
            <w:tcW w:w="1579" w:type="dxa"/>
            <w:tcBorders>
              <w:top w:val="nil"/>
              <w:left w:val="nil"/>
              <w:bottom w:val="nil"/>
              <w:right w:val="nil"/>
            </w:tcBorders>
            <w:shd w:val="clear" w:color="auto" w:fill="auto"/>
            <w:vAlign w:val="center"/>
            <w:hideMark/>
          </w:tcPr>
          <w:p w:rsidR="00E627E7" w:rsidRPr="0023565C" w:rsidRDefault="00E627E7" w:rsidP="00E02D6F">
            <w:pPr>
              <w:jc w:val="right"/>
              <w:rPr>
                <w:rFonts w:eastAsia="Times New Roman"/>
                <w:color w:val="000000"/>
                <w:sz w:val="18"/>
                <w:szCs w:val="18"/>
                <w:lang w:val="es-CR"/>
              </w:rPr>
            </w:pPr>
            <w:r w:rsidRPr="0023565C">
              <w:rPr>
                <w:rFonts w:eastAsia="Times New Roman"/>
                <w:color w:val="000000"/>
                <w:sz w:val="18"/>
                <w:szCs w:val="18"/>
              </w:rPr>
              <w:t>49,8%</w:t>
            </w:r>
          </w:p>
        </w:tc>
        <w:tc>
          <w:tcPr>
            <w:tcW w:w="1417" w:type="dxa"/>
            <w:tcBorders>
              <w:top w:val="nil"/>
              <w:left w:val="nil"/>
              <w:bottom w:val="nil"/>
              <w:right w:val="nil"/>
            </w:tcBorders>
            <w:shd w:val="clear" w:color="auto" w:fill="auto"/>
            <w:vAlign w:val="center"/>
            <w:hideMark/>
          </w:tcPr>
          <w:p w:rsidR="00E627E7" w:rsidRPr="0023565C" w:rsidRDefault="00E627E7" w:rsidP="00E02D6F">
            <w:pPr>
              <w:jc w:val="right"/>
              <w:rPr>
                <w:rFonts w:eastAsia="Times New Roman"/>
                <w:color w:val="000000"/>
                <w:sz w:val="18"/>
                <w:szCs w:val="18"/>
                <w:lang w:val="es-CR"/>
              </w:rPr>
            </w:pPr>
            <w:r w:rsidRPr="0023565C">
              <w:rPr>
                <w:rFonts w:eastAsia="Times New Roman"/>
                <w:color w:val="000000"/>
                <w:sz w:val="18"/>
                <w:szCs w:val="18"/>
              </w:rPr>
              <w:t>7.6%</w:t>
            </w:r>
          </w:p>
        </w:tc>
        <w:tc>
          <w:tcPr>
            <w:tcW w:w="1418" w:type="dxa"/>
            <w:tcBorders>
              <w:top w:val="nil"/>
              <w:left w:val="nil"/>
              <w:bottom w:val="nil"/>
              <w:right w:val="nil"/>
            </w:tcBorders>
            <w:shd w:val="clear" w:color="auto" w:fill="auto"/>
            <w:vAlign w:val="center"/>
            <w:hideMark/>
          </w:tcPr>
          <w:p w:rsidR="00E627E7" w:rsidRPr="0023565C" w:rsidRDefault="00E627E7" w:rsidP="00E02D6F">
            <w:pPr>
              <w:jc w:val="right"/>
              <w:rPr>
                <w:rFonts w:eastAsia="Times New Roman"/>
                <w:color w:val="000000"/>
                <w:sz w:val="18"/>
                <w:szCs w:val="18"/>
                <w:lang w:val="es-CR"/>
              </w:rPr>
            </w:pPr>
            <w:r w:rsidRPr="0023565C">
              <w:rPr>
                <w:rFonts w:eastAsia="Times New Roman"/>
                <w:color w:val="000000"/>
                <w:sz w:val="18"/>
                <w:szCs w:val="18"/>
              </w:rPr>
              <w:t>42.7%</w:t>
            </w:r>
          </w:p>
        </w:tc>
        <w:tc>
          <w:tcPr>
            <w:tcW w:w="1701" w:type="dxa"/>
            <w:tcBorders>
              <w:top w:val="nil"/>
              <w:left w:val="nil"/>
              <w:bottom w:val="nil"/>
              <w:right w:val="single" w:sz="8" w:space="0" w:color="auto"/>
            </w:tcBorders>
            <w:shd w:val="clear" w:color="auto" w:fill="auto"/>
            <w:vAlign w:val="center"/>
            <w:hideMark/>
          </w:tcPr>
          <w:p w:rsidR="00E627E7" w:rsidRPr="0023565C" w:rsidRDefault="00E627E7" w:rsidP="00E02D6F">
            <w:pPr>
              <w:jc w:val="right"/>
              <w:rPr>
                <w:rFonts w:eastAsia="Times New Roman"/>
                <w:color w:val="000000"/>
                <w:sz w:val="18"/>
                <w:szCs w:val="18"/>
                <w:lang w:val="es-CR"/>
              </w:rPr>
            </w:pPr>
            <w:r w:rsidRPr="0023565C">
              <w:rPr>
                <w:rFonts w:eastAsia="Times New Roman"/>
                <w:color w:val="000000"/>
                <w:sz w:val="18"/>
                <w:szCs w:val="18"/>
              </w:rPr>
              <w:t>100%</w:t>
            </w:r>
          </w:p>
        </w:tc>
      </w:tr>
      <w:tr w:rsidR="00E627E7" w:rsidRPr="0023565C" w:rsidTr="00E02D6F">
        <w:trPr>
          <w:trHeight w:val="290"/>
        </w:trPr>
        <w:tc>
          <w:tcPr>
            <w:tcW w:w="1540" w:type="dxa"/>
            <w:tcBorders>
              <w:top w:val="nil"/>
              <w:left w:val="single" w:sz="8" w:space="0" w:color="auto"/>
              <w:bottom w:val="nil"/>
              <w:right w:val="nil"/>
            </w:tcBorders>
            <w:shd w:val="clear" w:color="000000" w:fill="FFFFFF"/>
            <w:vAlign w:val="center"/>
            <w:hideMark/>
          </w:tcPr>
          <w:p w:rsidR="00E627E7" w:rsidRPr="0023565C" w:rsidRDefault="00E627E7" w:rsidP="00E02D6F">
            <w:pPr>
              <w:rPr>
                <w:rFonts w:eastAsia="Times New Roman"/>
                <w:b/>
                <w:bCs/>
                <w:color w:val="000000"/>
                <w:sz w:val="18"/>
                <w:szCs w:val="18"/>
                <w:lang w:val="es-CR"/>
              </w:rPr>
            </w:pPr>
            <w:r w:rsidRPr="0023565C">
              <w:rPr>
                <w:rFonts w:eastAsia="Times New Roman"/>
                <w:b/>
                <w:bCs/>
                <w:color w:val="000000"/>
                <w:sz w:val="18"/>
                <w:szCs w:val="18"/>
              </w:rPr>
              <w:t> </w:t>
            </w:r>
          </w:p>
        </w:tc>
        <w:tc>
          <w:tcPr>
            <w:tcW w:w="1579" w:type="dxa"/>
            <w:tcBorders>
              <w:top w:val="nil"/>
              <w:left w:val="nil"/>
              <w:bottom w:val="nil"/>
              <w:right w:val="nil"/>
            </w:tcBorders>
            <w:shd w:val="clear" w:color="000000" w:fill="FFFFFF"/>
            <w:vAlign w:val="center"/>
            <w:hideMark/>
          </w:tcPr>
          <w:p w:rsidR="00E627E7" w:rsidRPr="0023565C" w:rsidRDefault="00E627E7" w:rsidP="00E02D6F">
            <w:pPr>
              <w:rPr>
                <w:rFonts w:eastAsia="Times New Roman"/>
                <w:color w:val="000000"/>
                <w:sz w:val="18"/>
                <w:szCs w:val="18"/>
                <w:lang w:val="es-CR"/>
              </w:rPr>
            </w:pPr>
            <w:r w:rsidRPr="0023565C">
              <w:rPr>
                <w:rFonts w:eastAsia="Times New Roman"/>
                <w:color w:val="000000"/>
                <w:sz w:val="18"/>
                <w:szCs w:val="18"/>
              </w:rPr>
              <w:t> </w:t>
            </w:r>
          </w:p>
        </w:tc>
        <w:tc>
          <w:tcPr>
            <w:tcW w:w="1417" w:type="dxa"/>
            <w:tcBorders>
              <w:top w:val="nil"/>
              <w:left w:val="nil"/>
              <w:bottom w:val="nil"/>
              <w:right w:val="nil"/>
            </w:tcBorders>
            <w:shd w:val="clear" w:color="000000" w:fill="FFFFFF"/>
            <w:vAlign w:val="center"/>
            <w:hideMark/>
          </w:tcPr>
          <w:p w:rsidR="00E627E7" w:rsidRPr="0023565C" w:rsidRDefault="00E627E7" w:rsidP="00E02D6F">
            <w:pPr>
              <w:rPr>
                <w:rFonts w:eastAsia="Times New Roman"/>
                <w:color w:val="000000"/>
                <w:sz w:val="18"/>
                <w:szCs w:val="18"/>
                <w:lang w:val="es-CR"/>
              </w:rPr>
            </w:pPr>
            <w:r w:rsidRPr="0023565C">
              <w:rPr>
                <w:rFonts w:eastAsia="Times New Roman"/>
                <w:color w:val="000000"/>
                <w:sz w:val="18"/>
                <w:szCs w:val="18"/>
              </w:rPr>
              <w:t> </w:t>
            </w:r>
          </w:p>
        </w:tc>
        <w:tc>
          <w:tcPr>
            <w:tcW w:w="1418" w:type="dxa"/>
            <w:tcBorders>
              <w:top w:val="nil"/>
              <w:left w:val="nil"/>
              <w:bottom w:val="nil"/>
              <w:right w:val="nil"/>
            </w:tcBorders>
            <w:shd w:val="clear" w:color="000000" w:fill="FFFFFF"/>
            <w:vAlign w:val="center"/>
            <w:hideMark/>
          </w:tcPr>
          <w:p w:rsidR="00E627E7" w:rsidRPr="0023565C" w:rsidRDefault="00E627E7" w:rsidP="00E02D6F">
            <w:pPr>
              <w:rPr>
                <w:rFonts w:eastAsia="Times New Roman"/>
                <w:color w:val="000000"/>
                <w:sz w:val="18"/>
                <w:szCs w:val="18"/>
                <w:lang w:val="es-CR"/>
              </w:rPr>
            </w:pPr>
            <w:r w:rsidRPr="0023565C">
              <w:rPr>
                <w:rFonts w:eastAsia="Times New Roman"/>
                <w:color w:val="000000"/>
                <w:sz w:val="18"/>
                <w:szCs w:val="18"/>
              </w:rPr>
              <w:t> </w:t>
            </w:r>
          </w:p>
        </w:tc>
        <w:tc>
          <w:tcPr>
            <w:tcW w:w="1701" w:type="dxa"/>
            <w:tcBorders>
              <w:top w:val="nil"/>
              <w:left w:val="nil"/>
              <w:bottom w:val="nil"/>
              <w:right w:val="single" w:sz="8" w:space="0" w:color="auto"/>
            </w:tcBorders>
            <w:shd w:val="clear" w:color="000000" w:fill="FFFFFF"/>
            <w:vAlign w:val="center"/>
            <w:hideMark/>
          </w:tcPr>
          <w:p w:rsidR="00E627E7" w:rsidRPr="0023565C" w:rsidRDefault="00E627E7" w:rsidP="00E02D6F">
            <w:pPr>
              <w:rPr>
                <w:rFonts w:eastAsia="Times New Roman"/>
                <w:color w:val="000000"/>
                <w:sz w:val="18"/>
                <w:szCs w:val="18"/>
                <w:lang w:val="es-CR"/>
              </w:rPr>
            </w:pPr>
            <w:r w:rsidRPr="0023565C">
              <w:rPr>
                <w:rFonts w:eastAsia="Times New Roman"/>
                <w:color w:val="000000"/>
                <w:sz w:val="18"/>
                <w:szCs w:val="18"/>
              </w:rPr>
              <w:t> </w:t>
            </w:r>
          </w:p>
        </w:tc>
      </w:tr>
      <w:tr w:rsidR="00E627E7" w:rsidRPr="0023565C" w:rsidTr="00E02D6F">
        <w:trPr>
          <w:trHeight w:val="290"/>
        </w:trPr>
        <w:tc>
          <w:tcPr>
            <w:tcW w:w="1540" w:type="dxa"/>
            <w:tcBorders>
              <w:top w:val="nil"/>
              <w:left w:val="single" w:sz="8" w:space="0" w:color="auto"/>
              <w:bottom w:val="nil"/>
              <w:right w:val="nil"/>
            </w:tcBorders>
            <w:shd w:val="clear" w:color="000000" w:fill="FFFFFF"/>
            <w:vAlign w:val="center"/>
            <w:hideMark/>
          </w:tcPr>
          <w:p w:rsidR="00E627E7" w:rsidRPr="0023565C" w:rsidRDefault="00E627E7" w:rsidP="00E02D6F">
            <w:pPr>
              <w:rPr>
                <w:rFonts w:eastAsia="Times New Roman"/>
                <w:b/>
                <w:bCs/>
                <w:color w:val="000000"/>
                <w:sz w:val="18"/>
                <w:szCs w:val="18"/>
                <w:lang w:val="es-CR"/>
              </w:rPr>
            </w:pPr>
            <w:r w:rsidRPr="0023565C">
              <w:rPr>
                <w:rFonts w:eastAsia="Times New Roman"/>
                <w:b/>
                <w:bCs/>
                <w:color w:val="000000"/>
                <w:sz w:val="18"/>
                <w:szCs w:val="18"/>
              </w:rPr>
              <w:t>Egreso</w:t>
            </w:r>
          </w:p>
        </w:tc>
        <w:tc>
          <w:tcPr>
            <w:tcW w:w="1579" w:type="dxa"/>
            <w:tcBorders>
              <w:top w:val="nil"/>
              <w:left w:val="nil"/>
              <w:bottom w:val="nil"/>
              <w:right w:val="nil"/>
            </w:tcBorders>
            <w:shd w:val="clear" w:color="auto" w:fill="auto"/>
            <w:vAlign w:val="center"/>
            <w:hideMark/>
          </w:tcPr>
          <w:p w:rsidR="00E627E7" w:rsidRPr="0023565C" w:rsidRDefault="00E627E7" w:rsidP="00E02D6F">
            <w:pPr>
              <w:jc w:val="right"/>
              <w:rPr>
                <w:rFonts w:eastAsia="Times New Roman"/>
                <w:color w:val="000000"/>
                <w:sz w:val="18"/>
                <w:szCs w:val="18"/>
                <w:lang w:val="es-CR"/>
              </w:rPr>
            </w:pPr>
            <w:r w:rsidRPr="0023565C">
              <w:rPr>
                <w:rFonts w:eastAsia="Times New Roman"/>
                <w:color w:val="000000"/>
                <w:sz w:val="18"/>
                <w:szCs w:val="18"/>
              </w:rPr>
              <w:t xml:space="preserve">       52 332 976 </w:t>
            </w:r>
          </w:p>
        </w:tc>
        <w:tc>
          <w:tcPr>
            <w:tcW w:w="1417" w:type="dxa"/>
            <w:tcBorders>
              <w:top w:val="nil"/>
              <w:left w:val="nil"/>
              <w:bottom w:val="nil"/>
              <w:right w:val="nil"/>
            </w:tcBorders>
            <w:shd w:val="clear" w:color="auto" w:fill="auto"/>
            <w:vAlign w:val="center"/>
            <w:hideMark/>
          </w:tcPr>
          <w:p w:rsidR="00E627E7" w:rsidRPr="0023565C" w:rsidRDefault="00E627E7" w:rsidP="00E02D6F">
            <w:pPr>
              <w:jc w:val="right"/>
              <w:rPr>
                <w:rFonts w:eastAsia="Times New Roman"/>
                <w:color w:val="000000"/>
                <w:sz w:val="18"/>
                <w:szCs w:val="18"/>
                <w:lang w:val="es-CR"/>
              </w:rPr>
            </w:pPr>
            <w:r w:rsidRPr="0023565C">
              <w:rPr>
                <w:rFonts w:eastAsia="Times New Roman"/>
                <w:color w:val="000000"/>
                <w:sz w:val="18"/>
                <w:szCs w:val="18"/>
              </w:rPr>
              <w:t xml:space="preserve">   11 166 937 </w:t>
            </w:r>
          </w:p>
        </w:tc>
        <w:tc>
          <w:tcPr>
            <w:tcW w:w="1418" w:type="dxa"/>
            <w:tcBorders>
              <w:top w:val="nil"/>
              <w:left w:val="nil"/>
              <w:bottom w:val="nil"/>
              <w:right w:val="nil"/>
            </w:tcBorders>
            <w:shd w:val="clear" w:color="auto" w:fill="auto"/>
            <w:vAlign w:val="center"/>
            <w:hideMark/>
          </w:tcPr>
          <w:p w:rsidR="00E627E7" w:rsidRPr="0023565C" w:rsidRDefault="00E627E7" w:rsidP="00E02D6F">
            <w:pPr>
              <w:jc w:val="right"/>
              <w:rPr>
                <w:rFonts w:eastAsia="Times New Roman"/>
                <w:color w:val="000000"/>
                <w:sz w:val="18"/>
                <w:szCs w:val="18"/>
                <w:lang w:val="es-CR"/>
              </w:rPr>
            </w:pPr>
            <w:r w:rsidRPr="0023565C">
              <w:rPr>
                <w:rFonts w:eastAsia="Times New Roman"/>
                <w:color w:val="000000"/>
                <w:sz w:val="18"/>
                <w:szCs w:val="18"/>
              </w:rPr>
              <w:t xml:space="preserve">   46 739 974 </w:t>
            </w:r>
          </w:p>
        </w:tc>
        <w:tc>
          <w:tcPr>
            <w:tcW w:w="1701" w:type="dxa"/>
            <w:tcBorders>
              <w:top w:val="nil"/>
              <w:left w:val="nil"/>
              <w:bottom w:val="nil"/>
              <w:right w:val="single" w:sz="8" w:space="0" w:color="auto"/>
            </w:tcBorders>
            <w:shd w:val="clear" w:color="auto" w:fill="auto"/>
            <w:vAlign w:val="center"/>
            <w:hideMark/>
          </w:tcPr>
          <w:p w:rsidR="00E627E7" w:rsidRPr="0023565C" w:rsidRDefault="00E627E7" w:rsidP="00E02D6F">
            <w:pPr>
              <w:jc w:val="right"/>
              <w:rPr>
                <w:rFonts w:eastAsia="Times New Roman"/>
                <w:color w:val="000000"/>
                <w:sz w:val="18"/>
                <w:szCs w:val="18"/>
                <w:lang w:val="es-CR"/>
              </w:rPr>
            </w:pPr>
            <w:r w:rsidRPr="0023565C">
              <w:rPr>
                <w:rFonts w:eastAsia="Times New Roman"/>
                <w:color w:val="000000"/>
                <w:sz w:val="18"/>
                <w:szCs w:val="18"/>
              </w:rPr>
              <w:t xml:space="preserve">      110 239 887 </w:t>
            </w:r>
          </w:p>
        </w:tc>
      </w:tr>
      <w:tr w:rsidR="00E627E7" w:rsidRPr="0023565C" w:rsidTr="00E02D6F">
        <w:trPr>
          <w:trHeight w:val="290"/>
        </w:trPr>
        <w:tc>
          <w:tcPr>
            <w:tcW w:w="1540" w:type="dxa"/>
            <w:tcBorders>
              <w:top w:val="nil"/>
              <w:left w:val="single" w:sz="8" w:space="0" w:color="auto"/>
              <w:bottom w:val="nil"/>
              <w:right w:val="nil"/>
            </w:tcBorders>
            <w:shd w:val="clear" w:color="000000" w:fill="FFFFFF"/>
            <w:vAlign w:val="center"/>
            <w:hideMark/>
          </w:tcPr>
          <w:p w:rsidR="00E627E7" w:rsidRPr="0023565C" w:rsidRDefault="00E627E7" w:rsidP="00E02D6F">
            <w:pPr>
              <w:jc w:val="center"/>
              <w:rPr>
                <w:rFonts w:eastAsia="Times New Roman"/>
                <w:b/>
                <w:bCs/>
                <w:color w:val="000000"/>
                <w:sz w:val="18"/>
                <w:szCs w:val="18"/>
                <w:lang w:val="es-CR"/>
              </w:rPr>
            </w:pPr>
            <w:r w:rsidRPr="0023565C">
              <w:rPr>
                <w:rFonts w:eastAsia="Times New Roman"/>
                <w:b/>
                <w:bCs/>
                <w:color w:val="000000"/>
                <w:sz w:val="18"/>
                <w:szCs w:val="18"/>
              </w:rPr>
              <w:t>%</w:t>
            </w:r>
          </w:p>
        </w:tc>
        <w:tc>
          <w:tcPr>
            <w:tcW w:w="1579" w:type="dxa"/>
            <w:tcBorders>
              <w:top w:val="nil"/>
              <w:left w:val="nil"/>
              <w:bottom w:val="nil"/>
              <w:right w:val="nil"/>
            </w:tcBorders>
            <w:shd w:val="clear" w:color="auto" w:fill="auto"/>
            <w:vAlign w:val="center"/>
            <w:hideMark/>
          </w:tcPr>
          <w:p w:rsidR="00E627E7" w:rsidRPr="0023565C" w:rsidRDefault="00E627E7" w:rsidP="00E02D6F">
            <w:pPr>
              <w:jc w:val="right"/>
              <w:rPr>
                <w:rFonts w:eastAsia="Times New Roman"/>
                <w:color w:val="000000"/>
                <w:sz w:val="18"/>
                <w:szCs w:val="18"/>
                <w:lang w:val="es-CR"/>
              </w:rPr>
            </w:pPr>
            <w:r w:rsidRPr="0023565C">
              <w:rPr>
                <w:rFonts w:eastAsia="Times New Roman"/>
                <w:color w:val="000000"/>
                <w:sz w:val="18"/>
                <w:szCs w:val="18"/>
              </w:rPr>
              <w:t>47,5%</w:t>
            </w:r>
          </w:p>
        </w:tc>
        <w:tc>
          <w:tcPr>
            <w:tcW w:w="1417" w:type="dxa"/>
            <w:tcBorders>
              <w:top w:val="nil"/>
              <w:left w:val="nil"/>
              <w:bottom w:val="nil"/>
              <w:right w:val="nil"/>
            </w:tcBorders>
            <w:shd w:val="clear" w:color="auto" w:fill="auto"/>
            <w:vAlign w:val="center"/>
            <w:hideMark/>
          </w:tcPr>
          <w:p w:rsidR="00E627E7" w:rsidRPr="0023565C" w:rsidRDefault="00E627E7" w:rsidP="00E02D6F">
            <w:pPr>
              <w:jc w:val="right"/>
              <w:rPr>
                <w:rFonts w:eastAsia="Times New Roman"/>
                <w:color w:val="000000"/>
                <w:sz w:val="18"/>
                <w:szCs w:val="18"/>
                <w:lang w:val="es-CR"/>
              </w:rPr>
            </w:pPr>
            <w:r w:rsidRPr="0023565C">
              <w:rPr>
                <w:rFonts w:eastAsia="Times New Roman"/>
                <w:color w:val="000000"/>
                <w:sz w:val="18"/>
                <w:szCs w:val="18"/>
              </w:rPr>
              <w:t>10.1%</w:t>
            </w:r>
          </w:p>
        </w:tc>
        <w:tc>
          <w:tcPr>
            <w:tcW w:w="1418" w:type="dxa"/>
            <w:tcBorders>
              <w:top w:val="nil"/>
              <w:left w:val="nil"/>
              <w:bottom w:val="nil"/>
              <w:right w:val="nil"/>
            </w:tcBorders>
            <w:shd w:val="clear" w:color="auto" w:fill="auto"/>
            <w:vAlign w:val="center"/>
            <w:hideMark/>
          </w:tcPr>
          <w:p w:rsidR="00E627E7" w:rsidRPr="0023565C" w:rsidRDefault="00E627E7" w:rsidP="00E02D6F">
            <w:pPr>
              <w:jc w:val="right"/>
              <w:rPr>
                <w:rFonts w:eastAsia="Times New Roman"/>
                <w:color w:val="000000"/>
                <w:sz w:val="18"/>
                <w:szCs w:val="18"/>
                <w:lang w:val="es-CR"/>
              </w:rPr>
            </w:pPr>
            <w:r w:rsidRPr="0023565C">
              <w:rPr>
                <w:rFonts w:eastAsia="Times New Roman"/>
                <w:color w:val="000000"/>
                <w:sz w:val="18"/>
                <w:szCs w:val="18"/>
              </w:rPr>
              <w:t>42.4%</w:t>
            </w:r>
          </w:p>
        </w:tc>
        <w:tc>
          <w:tcPr>
            <w:tcW w:w="1701" w:type="dxa"/>
            <w:tcBorders>
              <w:top w:val="nil"/>
              <w:left w:val="nil"/>
              <w:bottom w:val="nil"/>
              <w:right w:val="single" w:sz="8" w:space="0" w:color="auto"/>
            </w:tcBorders>
            <w:shd w:val="clear" w:color="auto" w:fill="auto"/>
            <w:vAlign w:val="center"/>
            <w:hideMark/>
          </w:tcPr>
          <w:p w:rsidR="00E627E7" w:rsidRPr="0023565C" w:rsidRDefault="00E627E7" w:rsidP="00E02D6F">
            <w:pPr>
              <w:jc w:val="right"/>
              <w:rPr>
                <w:rFonts w:eastAsia="Times New Roman"/>
                <w:color w:val="000000"/>
                <w:sz w:val="18"/>
                <w:szCs w:val="18"/>
                <w:lang w:val="es-CR"/>
              </w:rPr>
            </w:pPr>
            <w:r w:rsidRPr="0023565C">
              <w:rPr>
                <w:rFonts w:eastAsia="Times New Roman"/>
                <w:color w:val="000000"/>
                <w:sz w:val="18"/>
                <w:szCs w:val="18"/>
              </w:rPr>
              <w:t>100%</w:t>
            </w:r>
          </w:p>
        </w:tc>
      </w:tr>
      <w:tr w:rsidR="00E627E7" w:rsidRPr="0023565C" w:rsidTr="00E02D6F">
        <w:trPr>
          <w:trHeight w:val="290"/>
        </w:trPr>
        <w:tc>
          <w:tcPr>
            <w:tcW w:w="1540" w:type="dxa"/>
            <w:tcBorders>
              <w:top w:val="nil"/>
              <w:left w:val="single" w:sz="8" w:space="0" w:color="auto"/>
              <w:bottom w:val="nil"/>
              <w:right w:val="nil"/>
            </w:tcBorders>
            <w:shd w:val="clear" w:color="000000" w:fill="FFFFFF"/>
            <w:vAlign w:val="center"/>
            <w:hideMark/>
          </w:tcPr>
          <w:p w:rsidR="00E627E7" w:rsidRPr="0023565C" w:rsidRDefault="00E627E7" w:rsidP="00E02D6F">
            <w:pPr>
              <w:rPr>
                <w:rFonts w:eastAsia="Times New Roman"/>
                <w:b/>
                <w:bCs/>
                <w:color w:val="000000"/>
                <w:sz w:val="18"/>
                <w:szCs w:val="18"/>
                <w:lang w:val="es-CR"/>
              </w:rPr>
            </w:pPr>
            <w:r w:rsidRPr="0023565C">
              <w:rPr>
                <w:rFonts w:eastAsia="Times New Roman"/>
                <w:b/>
                <w:bCs/>
                <w:color w:val="000000"/>
                <w:sz w:val="18"/>
                <w:szCs w:val="18"/>
              </w:rPr>
              <w:t> </w:t>
            </w:r>
          </w:p>
        </w:tc>
        <w:tc>
          <w:tcPr>
            <w:tcW w:w="1579" w:type="dxa"/>
            <w:tcBorders>
              <w:top w:val="nil"/>
              <w:left w:val="nil"/>
              <w:bottom w:val="nil"/>
              <w:right w:val="nil"/>
            </w:tcBorders>
            <w:shd w:val="clear" w:color="000000" w:fill="FFFFFF"/>
            <w:vAlign w:val="center"/>
            <w:hideMark/>
          </w:tcPr>
          <w:p w:rsidR="00E627E7" w:rsidRPr="0023565C" w:rsidRDefault="00E627E7" w:rsidP="00E02D6F">
            <w:pPr>
              <w:rPr>
                <w:rFonts w:eastAsia="Times New Roman"/>
                <w:color w:val="000000"/>
                <w:sz w:val="18"/>
                <w:szCs w:val="18"/>
                <w:lang w:val="es-CR"/>
              </w:rPr>
            </w:pPr>
            <w:r w:rsidRPr="0023565C">
              <w:rPr>
                <w:rFonts w:eastAsia="Times New Roman"/>
                <w:color w:val="000000"/>
                <w:sz w:val="18"/>
                <w:szCs w:val="18"/>
              </w:rPr>
              <w:t> </w:t>
            </w:r>
          </w:p>
        </w:tc>
        <w:tc>
          <w:tcPr>
            <w:tcW w:w="1417" w:type="dxa"/>
            <w:tcBorders>
              <w:top w:val="nil"/>
              <w:left w:val="nil"/>
              <w:bottom w:val="nil"/>
              <w:right w:val="nil"/>
            </w:tcBorders>
            <w:shd w:val="clear" w:color="000000" w:fill="FFFFFF"/>
            <w:vAlign w:val="center"/>
            <w:hideMark/>
          </w:tcPr>
          <w:p w:rsidR="00E627E7" w:rsidRPr="0023565C" w:rsidRDefault="00E627E7" w:rsidP="00E02D6F">
            <w:pPr>
              <w:rPr>
                <w:rFonts w:eastAsia="Times New Roman"/>
                <w:color w:val="000000"/>
                <w:sz w:val="18"/>
                <w:szCs w:val="18"/>
                <w:lang w:val="es-CR"/>
              </w:rPr>
            </w:pPr>
            <w:r w:rsidRPr="0023565C">
              <w:rPr>
                <w:rFonts w:eastAsia="Times New Roman"/>
                <w:color w:val="000000"/>
                <w:sz w:val="18"/>
                <w:szCs w:val="18"/>
              </w:rPr>
              <w:t> </w:t>
            </w:r>
          </w:p>
        </w:tc>
        <w:tc>
          <w:tcPr>
            <w:tcW w:w="1418" w:type="dxa"/>
            <w:tcBorders>
              <w:top w:val="nil"/>
              <w:left w:val="nil"/>
              <w:bottom w:val="nil"/>
              <w:right w:val="nil"/>
            </w:tcBorders>
            <w:shd w:val="clear" w:color="000000" w:fill="FFFFFF"/>
            <w:vAlign w:val="center"/>
            <w:hideMark/>
          </w:tcPr>
          <w:p w:rsidR="00E627E7" w:rsidRPr="0023565C" w:rsidRDefault="00E627E7" w:rsidP="00E02D6F">
            <w:pPr>
              <w:rPr>
                <w:rFonts w:eastAsia="Times New Roman"/>
                <w:color w:val="000000"/>
                <w:sz w:val="18"/>
                <w:szCs w:val="18"/>
                <w:lang w:val="es-CR"/>
              </w:rPr>
            </w:pPr>
            <w:r w:rsidRPr="0023565C">
              <w:rPr>
                <w:rFonts w:eastAsia="Times New Roman"/>
                <w:color w:val="000000"/>
                <w:sz w:val="18"/>
                <w:szCs w:val="18"/>
              </w:rPr>
              <w:t> </w:t>
            </w:r>
          </w:p>
        </w:tc>
        <w:tc>
          <w:tcPr>
            <w:tcW w:w="1701" w:type="dxa"/>
            <w:tcBorders>
              <w:top w:val="nil"/>
              <w:left w:val="nil"/>
              <w:bottom w:val="nil"/>
              <w:right w:val="single" w:sz="8" w:space="0" w:color="auto"/>
            </w:tcBorders>
            <w:shd w:val="clear" w:color="000000" w:fill="FFFFFF"/>
            <w:vAlign w:val="center"/>
            <w:hideMark/>
          </w:tcPr>
          <w:p w:rsidR="00E627E7" w:rsidRPr="0023565C" w:rsidRDefault="00E627E7" w:rsidP="00E02D6F">
            <w:pPr>
              <w:rPr>
                <w:rFonts w:eastAsia="Times New Roman"/>
                <w:color w:val="000000"/>
                <w:sz w:val="18"/>
                <w:szCs w:val="18"/>
                <w:lang w:val="es-CR"/>
              </w:rPr>
            </w:pPr>
            <w:r w:rsidRPr="0023565C">
              <w:rPr>
                <w:rFonts w:eastAsia="Times New Roman"/>
                <w:color w:val="000000"/>
                <w:sz w:val="18"/>
                <w:szCs w:val="18"/>
              </w:rPr>
              <w:t> </w:t>
            </w:r>
          </w:p>
        </w:tc>
      </w:tr>
      <w:tr w:rsidR="00E627E7" w:rsidRPr="0023565C" w:rsidTr="00E02D6F">
        <w:trPr>
          <w:trHeight w:val="470"/>
        </w:trPr>
        <w:tc>
          <w:tcPr>
            <w:tcW w:w="1540" w:type="dxa"/>
            <w:tcBorders>
              <w:top w:val="nil"/>
              <w:left w:val="single" w:sz="8" w:space="0" w:color="auto"/>
              <w:bottom w:val="single" w:sz="8" w:space="0" w:color="auto"/>
              <w:right w:val="nil"/>
            </w:tcBorders>
            <w:shd w:val="clear" w:color="000000" w:fill="FFFFFF"/>
            <w:vAlign w:val="center"/>
            <w:hideMark/>
          </w:tcPr>
          <w:p w:rsidR="00E627E7" w:rsidRPr="0023565C" w:rsidRDefault="00E627E7" w:rsidP="00E02D6F">
            <w:pPr>
              <w:rPr>
                <w:rFonts w:eastAsia="Times New Roman"/>
                <w:b/>
                <w:bCs/>
                <w:color w:val="000000"/>
                <w:sz w:val="18"/>
                <w:szCs w:val="18"/>
                <w:lang w:val="es-CR"/>
              </w:rPr>
            </w:pPr>
            <w:r w:rsidRPr="0023565C">
              <w:rPr>
                <w:rFonts w:eastAsia="Times New Roman"/>
                <w:b/>
                <w:bCs/>
                <w:color w:val="000000"/>
                <w:sz w:val="18"/>
                <w:szCs w:val="18"/>
              </w:rPr>
              <w:t>Utilidad Neta (**)</w:t>
            </w:r>
          </w:p>
        </w:tc>
        <w:tc>
          <w:tcPr>
            <w:tcW w:w="1579" w:type="dxa"/>
            <w:tcBorders>
              <w:top w:val="nil"/>
              <w:left w:val="nil"/>
              <w:bottom w:val="single" w:sz="8" w:space="0" w:color="auto"/>
              <w:right w:val="nil"/>
            </w:tcBorders>
            <w:shd w:val="clear" w:color="auto" w:fill="auto"/>
            <w:vAlign w:val="center"/>
            <w:hideMark/>
          </w:tcPr>
          <w:p w:rsidR="00E627E7" w:rsidRPr="0023565C" w:rsidRDefault="00E627E7" w:rsidP="00E02D6F">
            <w:pPr>
              <w:jc w:val="right"/>
              <w:rPr>
                <w:rFonts w:eastAsia="Times New Roman"/>
                <w:b/>
                <w:bCs/>
                <w:color w:val="000000"/>
                <w:sz w:val="18"/>
                <w:szCs w:val="18"/>
                <w:lang w:val="es-CR"/>
              </w:rPr>
            </w:pPr>
            <w:r w:rsidRPr="0023565C">
              <w:rPr>
                <w:rFonts w:eastAsia="Times New Roman"/>
                <w:b/>
                <w:bCs/>
                <w:color w:val="000000"/>
                <w:sz w:val="18"/>
                <w:szCs w:val="18"/>
              </w:rPr>
              <w:t xml:space="preserve">       10 894 495 </w:t>
            </w:r>
          </w:p>
        </w:tc>
        <w:tc>
          <w:tcPr>
            <w:tcW w:w="1417" w:type="dxa"/>
            <w:tcBorders>
              <w:top w:val="nil"/>
              <w:left w:val="nil"/>
              <w:bottom w:val="single" w:sz="8" w:space="0" w:color="auto"/>
              <w:right w:val="nil"/>
            </w:tcBorders>
            <w:shd w:val="clear" w:color="auto" w:fill="auto"/>
            <w:vAlign w:val="center"/>
            <w:hideMark/>
          </w:tcPr>
          <w:p w:rsidR="00E627E7" w:rsidRPr="0023565C" w:rsidRDefault="00E627E7" w:rsidP="00E02D6F">
            <w:pPr>
              <w:jc w:val="right"/>
              <w:rPr>
                <w:rFonts w:eastAsia="Times New Roman"/>
                <w:b/>
                <w:bCs/>
                <w:color w:val="000000"/>
                <w:sz w:val="18"/>
                <w:szCs w:val="18"/>
                <w:lang w:val="es-CR"/>
              </w:rPr>
            </w:pPr>
            <w:r w:rsidRPr="0023565C">
              <w:rPr>
                <w:rFonts w:eastAsia="Times New Roman"/>
                <w:b/>
                <w:bCs/>
                <w:color w:val="000000"/>
                <w:sz w:val="18"/>
                <w:szCs w:val="18"/>
              </w:rPr>
              <w:t>-1 545 808</w:t>
            </w:r>
          </w:p>
        </w:tc>
        <w:tc>
          <w:tcPr>
            <w:tcW w:w="1418" w:type="dxa"/>
            <w:tcBorders>
              <w:top w:val="nil"/>
              <w:left w:val="nil"/>
              <w:bottom w:val="single" w:sz="8" w:space="0" w:color="auto"/>
              <w:right w:val="nil"/>
            </w:tcBorders>
            <w:shd w:val="clear" w:color="auto" w:fill="auto"/>
            <w:vAlign w:val="center"/>
            <w:hideMark/>
          </w:tcPr>
          <w:p w:rsidR="00E627E7" w:rsidRPr="0023565C" w:rsidRDefault="00E627E7" w:rsidP="00E02D6F">
            <w:pPr>
              <w:jc w:val="right"/>
              <w:rPr>
                <w:rFonts w:eastAsia="Times New Roman"/>
                <w:b/>
                <w:bCs/>
                <w:color w:val="000000"/>
                <w:sz w:val="18"/>
                <w:szCs w:val="18"/>
                <w:lang w:val="es-CR"/>
              </w:rPr>
            </w:pPr>
            <w:r w:rsidRPr="0023565C">
              <w:rPr>
                <w:rFonts w:eastAsia="Times New Roman"/>
                <w:b/>
                <w:bCs/>
                <w:color w:val="000000"/>
                <w:sz w:val="18"/>
                <w:szCs w:val="18"/>
              </w:rPr>
              <w:t xml:space="preserve">     7 466 678 </w:t>
            </w:r>
          </w:p>
        </w:tc>
        <w:tc>
          <w:tcPr>
            <w:tcW w:w="1701" w:type="dxa"/>
            <w:tcBorders>
              <w:top w:val="nil"/>
              <w:left w:val="nil"/>
              <w:bottom w:val="single" w:sz="8" w:space="0" w:color="auto"/>
              <w:right w:val="single" w:sz="8" w:space="0" w:color="auto"/>
            </w:tcBorders>
            <w:shd w:val="clear" w:color="auto" w:fill="auto"/>
            <w:vAlign w:val="center"/>
            <w:hideMark/>
          </w:tcPr>
          <w:p w:rsidR="00E627E7" w:rsidRPr="0023565C" w:rsidRDefault="00E627E7" w:rsidP="00E02D6F">
            <w:pPr>
              <w:jc w:val="right"/>
              <w:rPr>
                <w:rFonts w:eastAsia="Times New Roman"/>
                <w:b/>
                <w:bCs/>
                <w:color w:val="000000"/>
                <w:sz w:val="18"/>
                <w:szCs w:val="18"/>
                <w:lang w:val="es-CR"/>
              </w:rPr>
            </w:pPr>
            <w:r w:rsidRPr="0023565C">
              <w:rPr>
                <w:rFonts w:eastAsia="Times New Roman"/>
                <w:b/>
                <w:bCs/>
                <w:color w:val="000000"/>
                <w:sz w:val="18"/>
                <w:szCs w:val="18"/>
              </w:rPr>
              <w:t xml:space="preserve">        16 815 365 </w:t>
            </w:r>
          </w:p>
        </w:tc>
      </w:tr>
    </w:tbl>
    <w:p w:rsidR="00E627E7" w:rsidRDefault="00E627E7" w:rsidP="00E627E7">
      <w:pPr>
        <w:rPr>
          <w:color w:val="263238"/>
          <w:sz w:val="20"/>
          <w:szCs w:val="20"/>
        </w:rPr>
      </w:pPr>
    </w:p>
    <w:p w:rsidR="00E627E7" w:rsidRDefault="00E627E7" w:rsidP="00E627E7">
      <w:pPr>
        <w:rPr>
          <w:color w:val="263238"/>
          <w:sz w:val="20"/>
          <w:szCs w:val="20"/>
        </w:rPr>
      </w:pPr>
      <w:r>
        <w:rPr>
          <w:color w:val="263238"/>
          <w:sz w:val="20"/>
          <w:szCs w:val="20"/>
        </w:rPr>
        <w:t xml:space="preserve">(*) </w:t>
      </w:r>
      <w:proofErr w:type="spellStart"/>
      <w:r>
        <w:rPr>
          <w:color w:val="263238"/>
          <w:sz w:val="20"/>
          <w:szCs w:val="20"/>
        </w:rPr>
        <w:t>Holcim</w:t>
      </w:r>
      <w:proofErr w:type="spellEnd"/>
      <w:r>
        <w:rPr>
          <w:color w:val="263238"/>
          <w:sz w:val="20"/>
          <w:szCs w:val="20"/>
        </w:rPr>
        <w:t xml:space="preserve"> CRI, incluye </w:t>
      </w:r>
      <w:r w:rsidRPr="0023565C">
        <w:rPr>
          <w:color w:val="263238"/>
          <w:sz w:val="20"/>
          <w:szCs w:val="20"/>
        </w:rPr>
        <w:t xml:space="preserve">Servicios Ambientales </w:t>
      </w:r>
      <w:proofErr w:type="spellStart"/>
      <w:r w:rsidRPr="0023565C">
        <w:rPr>
          <w:color w:val="263238"/>
          <w:sz w:val="20"/>
          <w:szCs w:val="20"/>
        </w:rPr>
        <w:t>Geocycle</w:t>
      </w:r>
      <w:proofErr w:type="spellEnd"/>
      <w:r w:rsidRPr="0023565C">
        <w:rPr>
          <w:color w:val="263238"/>
          <w:sz w:val="20"/>
          <w:szCs w:val="20"/>
        </w:rPr>
        <w:t xml:space="preserve"> S.A.G. S.A.</w:t>
      </w:r>
      <w:r>
        <w:rPr>
          <w:color w:val="263238"/>
          <w:sz w:val="20"/>
          <w:szCs w:val="20"/>
        </w:rPr>
        <w:t xml:space="preserve"> compañía fusionada </w:t>
      </w:r>
    </w:p>
    <w:p w:rsidR="00E627E7" w:rsidRPr="00871721" w:rsidRDefault="00E627E7" w:rsidP="00E627E7">
      <w:pPr>
        <w:rPr>
          <w:b/>
          <w:color w:val="263238"/>
          <w:sz w:val="20"/>
          <w:szCs w:val="20"/>
        </w:rPr>
      </w:pPr>
      <w:r>
        <w:rPr>
          <w:color w:val="263238"/>
          <w:sz w:val="20"/>
          <w:szCs w:val="20"/>
        </w:rPr>
        <w:t>(**)</w:t>
      </w:r>
      <w:r w:rsidRPr="0023565C">
        <w:rPr>
          <w:color w:val="263238"/>
          <w:sz w:val="20"/>
          <w:szCs w:val="20"/>
        </w:rPr>
        <w:t xml:space="preserve"> Utilidad Neta de atribuible a los accionistas de la parte controladora</w:t>
      </w:r>
    </w:p>
    <w:p w:rsidR="00E627E7" w:rsidRPr="00871721" w:rsidRDefault="00E627E7" w:rsidP="00E627E7">
      <w:pPr>
        <w:rPr>
          <w:b/>
          <w:color w:val="263238"/>
          <w:sz w:val="20"/>
          <w:szCs w:val="20"/>
        </w:rPr>
      </w:pPr>
    </w:p>
    <w:p w:rsidR="00E627E7" w:rsidRPr="00871721" w:rsidRDefault="00E627E7" w:rsidP="00E627E7">
      <w:pPr>
        <w:rPr>
          <w:color w:val="263238"/>
          <w:sz w:val="20"/>
          <w:szCs w:val="20"/>
        </w:rPr>
      </w:pPr>
    </w:p>
    <w:p w:rsidR="00E627E7" w:rsidRPr="00871721" w:rsidRDefault="00E627E7" w:rsidP="00E627E7">
      <w:pPr>
        <w:jc w:val="both"/>
        <w:rPr>
          <w:b/>
        </w:rPr>
      </w:pPr>
      <w:r w:rsidRPr="00871721">
        <w:rPr>
          <w:b/>
        </w:rPr>
        <w:t>Antecedentes</w:t>
      </w:r>
    </w:p>
    <w:p w:rsidR="00E627E7" w:rsidRPr="00871721" w:rsidRDefault="00E627E7" w:rsidP="00E627E7">
      <w:pPr>
        <w:jc w:val="both"/>
      </w:pPr>
    </w:p>
    <w:p w:rsidR="00E627E7" w:rsidRPr="00871721" w:rsidRDefault="00E627E7" w:rsidP="00E627E7">
      <w:pPr>
        <w:jc w:val="both"/>
      </w:pPr>
      <w:r w:rsidRPr="00871721">
        <w:t xml:space="preserve">Mediante la integración con Productos de Concreto, S. A. en octubre de 1997, </w:t>
      </w:r>
      <w:proofErr w:type="spellStart"/>
      <w:r w:rsidRPr="00871721">
        <w:t>Holcim</w:t>
      </w:r>
      <w:proofErr w:type="spellEnd"/>
      <w:r w:rsidRPr="00871721">
        <w:t xml:space="preserve"> (Costa Rica), S.A. logró el control en el capital de ésta y de otras empresas en la industria de los materiales para la construcción (subsidiarias).  </w:t>
      </w:r>
    </w:p>
    <w:p w:rsidR="00E627E7" w:rsidRPr="00871721" w:rsidRDefault="00E627E7" w:rsidP="00E627E7">
      <w:pPr>
        <w:jc w:val="both"/>
      </w:pPr>
    </w:p>
    <w:p w:rsidR="00E627E7" w:rsidRPr="00871721" w:rsidRDefault="00E627E7" w:rsidP="00E627E7">
      <w:pPr>
        <w:jc w:val="both"/>
      </w:pPr>
      <w:r w:rsidRPr="00871721">
        <w:t xml:space="preserve">El 19 de febrero del 2007, Quebradores Cerro Minas, S.A., empresa dedicada a la explotación de agregados (arena, piedra y lastre) y subsidiaria 100% de </w:t>
      </w:r>
      <w:proofErr w:type="spellStart"/>
      <w:r w:rsidRPr="00871721">
        <w:t>Holcim</w:t>
      </w:r>
      <w:proofErr w:type="spellEnd"/>
      <w:r w:rsidRPr="00871721">
        <w:t xml:space="preserve"> (Costa Rica), S.A., se fusionó con la Compañía Quebrador </w:t>
      </w:r>
      <w:proofErr w:type="spellStart"/>
      <w:r>
        <w:t>Ocho</w:t>
      </w:r>
      <w:r w:rsidRPr="00871721">
        <w:t>mogo</w:t>
      </w:r>
      <w:proofErr w:type="spellEnd"/>
      <w:r w:rsidRPr="00871721">
        <w:t xml:space="preserve">, S.A., de la cual poseía el 100% de las acciones.  En esa misma fecha, Quebradores Cerro Minas, cambió su denominación social a </w:t>
      </w:r>
      <w:proofErr w:type="spellStart"/>
      <w:r w:rsidRPr="00871721">
        <w:t>Holcim</w:t>
      </w:r>
      <w:proofErr w:type="spellEnd"/>
      <w:r w:rsidRPr="00871721">
        <w:t xml:space="preserve"> Agregados, S.A., conservando la misma cédula jurídica.</w:t>
      </w:r>
    </w:p>
    <w:p w:rsidR="00E627E7" w:rsidRPr="00871721" w:rsidRDefault="00E627E7" w:rsidP="00E627E7">
      <w:pPr>
        <w:jc w:val="both"/>
      </w:pPr>
    </w:p>
    <w:p w:rsidR="00E627E7" w:rsidRPr="00871721" w:rsidRDefault="00E627E7" w:rsidP="00E627E7">
      <w:pPr>
        <w:jc w:val="both"/>
      </w:pPr>
      <w:r w:rsidRPr="00871721">
        <w:t xml:space="preserve">El 11 de febrero del 2008, los socios de </w:t>
      </w:r>
      <w:proofErr w:type="spellStart"/>
      <w:r w:rsidRPr="00871721">
        <w:t>Holcim</w:t>
      </w:r>
      <w:proofErr w:type="spellEnd"/>
      <w:r w:rsidRPr="00871721">
        <w:t xml:space="preserve"> (Costa Rica), S.A., acuerdan una fusión por absorción con </w:t>
      </w:r>
      <w:proofErr w:type="spellStart"/>
      <w:r w:rsidRPr="00871721">
        <w:t>Holcim</w:t>
      </w:r>
      <w:proofErr w:type="spellEnd"/>
      <w:r w:rsidRPr="00871721">
        <w:t xml:space="preserve"> Agregados y </w:t>
      </w:r>
      <w:proofErr w:type="spellStart"/>
      <w:r w:rsidRPr="00871721">
        <w:t>Holcim</w:t>
      </w:r>
      <w:proofErr w:type="spellEnd"/>
      <w:r w:rsidRPr="00871721">
        <w:t xml:space="preserve"> </w:t>
      </w:r>
      <w:proofErr w:type="spellStart"/>
      <w:r w:rsidRPr="00871721">
        <w:t>Concretera</w:t>
      </w:r>
      <w:proofErr w:type="spellEnd"/>
      <w:r w:rsidRPr="00871721">
        <w:t xml:space="preserve">, prevaleciendo </w:t>
      </w:r>
      <w:proofErr w:type="spellStart"/>
      <w:r w:rsidRPr="00871721">
        <w:t>Holcim</w:t>
      </w:r>
      <w:proofErr w:type="spellEnd"/>
      <w:r w:rsidRPr="00871721">
        <w:t xml:space="preserve"> (Costa Rica), S.A.  </w:t>
      </w:r>
    </w:p>
    <w:p w:rsidR="00E627E7" w:rsidRPr="00871721" w:rsidRDefault="00E627E7" w:rsidP="00E627E7">
      <w:pPr>
        <w:jc w:val="both"/>
      </w:pPr>
    </w:p>
    <w:p w:rsidR="00E627E7" w:rsidRPr="00871721" w:rsidRDefault="00E627E7" w:rsidP="00E627E7">
      <w:pPr>
        <w:jc w:val="both"/>
      </w:pPr>
      <w:r w:rsidRPr="00871721">
        <w:t xml:space="preserve">Con el objetivo permanente de la simplificación administrativa, durante el 2008 se fusionaron </w:t>
      </w:r>
      <w:proofErr w:type="spellStart"/>
      <w:r w:rsidRPr="00871721">
        <w:t>Holcim</w:t>
      </w:r>
      <w:proofErr w:type="spellEnd"/>
      <w:r w:rsidRPr="00871721">
        <w:t xml:space="preserve"> Agregados y </w:t>
      </w:r>
      <w:proofErr w:type="spellStart"/>
      <w:r w:rsidRPr="00871721">
        <w:t>Holcim</w:t>
      </w:r>
      <w:proofErr w:type="spellEnd"/>
      <w:r w:rsidRPr="00871721">
        <w:t xml:space="preserve"> </w:t>
      </w:r>
      <w:proofErr w:type="spellStart"/>
      <w:r w:rsidRPr="00871721">
        <w:t>Concretera</w:t>
      </w:r>
      <w:proofErr w:type="spellEnd"/>
      <w:r w:rsidRPr="00871721">
        <w:t xml:space="preserve"> con </w:t>
      </w:r>
      <w:proofErr w:type="spellStart"/>
      <w:r w:rsidRPr="00871721">
        <w:t>Holcim</w:t>
      </w:r>
      <w:proofErr w:type="spellEnd"/>
      <w:r w:rsidRPr="00871721">
        <w:t xml:space="preserve"> (Costa Rica) S.A., prevaleciendo ésta última, lo que llevó a conformar un grupo de 4 empresas: </w:t>
      </w:r>
      <w:proofErr w:type="spellStart"/>
      <w:r w:rsidRPr="00871721">
        <w:t>Holcim</w:t>
      </w:r>
      <w:proofErr w:type="spellEnd"/>
      <w:r w:rsidRPr="00871721">
        <w:t xml:space="preserve"> (Costa Rica) S.A., Productos de Concreto S.A., Servicios Ambientales </w:t>
      </w:r>
      <w:proofErr w:type="spellStart"/>
      <w:r w:rsidRPr="00871721">
        <w:t>Geocycle</w:t>
      </w:r>
      <w:proofErr w:type="spellEnd"/>
      <w:r w:rsidRPr="00871721">
        <w:t xml:space="preserve"> S.A.G. S.A.</w:t>
      </w:r>
      <w:r>
        <w:t xml:space="preserve"> </w:t>
      </w:r>
      <w:r>
        <w:rPr>
          <w:sz w:val="20"/>
          <w:szCs w:val="20"/>
        </w:rPr>
        <w:t xml:space="preserve">(Desde 22 de abril de 2024 </w:t>
      </w:r>
      <w:proofErr w:type="spellStart"/>
      <w:r>
        <w:rPr>
          <w:sz w:val="20"/>
          <w:szCs w:val="20"/>
        </w:rPr>
        <w:t>Holcim</w:t>
      </w:r>
      <w:proofErr w:type="spellEnd"/>
      <w:r>
        <w:rPr>
          <w:sz w:val="20"/>
          <w:szCs w:val="20"/>
        </w:rPr>
        <w:t xml:space="preserve"> Costa Rica, S.A.)</w:t>
      </w:r>
      <w:r w:rsidRPr="00871721">
        <w:t xml:space="preserve"> e Hidroeléctricas Aguas Zarcas S.A.</w:t>
      </w:r>
    </w:p>
    <w:p w:rsidR="00E627E7" w:rsidRPr="00871721" w:rsidRDefault="00E627E7" w:rsidP="00E627E7">
      <w:pPr>
        <w:jc w:val="both"/>
      </w:pPr>
    </w:p>
    <w:p w:rsidR="00E627E7" w:rsidRPr="00871721" w:rsidRDefault="00E627E7" w:rsidP="00E627E7">
      <w:pPr>
        <w:rPr>
          <w:sz w:val="18"/>
          <w:szCs w:val="18"/>
        </w:rPr>
      </w:pPr>
      <w:r w:rsidRPr="00871721">
        <w:t>La empresa Productos de Concreto, S.A., fue vendida el 31/03/2012.</w:t>
      </w:r>
    </w:p>
    <w:p w:rsidR="00E627E7" w:rsidRPr="00871721" w:rsidRDefault="00E627E7" w:rsidP="00E627E7">
      <w:pPr>
        <w:rPr>
          <w:sz w:val="18"/>
          <w:szCs w:val="18"/>
        </w:rPr>
      </w:pPr>
    </w:p>
    <w:p w:rsidR="00E627E7" w:rsidRPr="00871721" w:rsidRDefault="00E627E7" w:rsidP="00E627E7">
      <w:pPr>
        <w:jc w:val="both"/>
      </w:pPr>
      <w:r w:rsidRPr="00871721">
        <w:t xml:space="preserve">El 1 de febrero de 2013 </w:t>
      </w:r>
      <w:proofErr w:type="spellStart"/>
      <w:r w:rsidRPr="00871721">
        <w:t>Holcim</w:t>
      </w:r>
      <w:proofErr w:type="spellEnd"/>
      <w:r w:rsidRPr="00871721">
        <w:t xml:space="preserve"> adquirió el 100% de las acciones con derecho a voto que conforman el capital social de </w:t>
      </w:r>
      <w:proofErr w:type="spellStart"/>
      <w:r w:rsidRPr="00871721">
        <w:t>Construcorp</w:t>
      </w:r>
      <w:proofErr w:type="spellEnd"/>
      <w:r w:rsidRPr="00871721">
        <w:t xml:space="preserve"> Internacional SCI, S.A. (“</w:t>
      </w:r>
      <w:proofErr w:type="spellStart"/>
      <w:r w:rsidRPr="00871721">
        <w:t>Construcorp</w:t>
      </w:r>
      <w:proofErr w:type="spellEnd"/>
      <w:r w:rsidRPr="00871721">
        <w:t xml:space="preserve">”).  </w:t>
      </w:r>
      <w:proofErr w:type="spellStart"/>
      <w:r w:rsidRPr="00871721">
        <w:t>Construcorp</w:t>
      </w:r>
      <w:proofErr w:type="spellEnd"/>
      <w:r w:rsidRPr="00871721">
        <w:t xml:space="preserve"> es titular de una franquicia maestra para desarrollar las franquicias del sistema “</w:t>
      </w:r>
      <w:proofErr w:type="spellStart"/>
      <w:r w:rsidRPr="00871721">
        <w:t>Disensa</w:t>
      </w:r>
      <w:proofErr w:type="spellEnd"/>
      <w:r w:rsidRPr="00871721">
        <w:t>”, cómo se mencionó previamente</w:t>
      </w:r>
    </w:p>
    <w:p w:rsidR="00E627E7" w:rsidRPr="00871721" w:rsidRDefault="00E627E7" w:rsidP="00E627E7">
      <w:pPr>
        <w:jc w:val="both"/>
      </w:pPr>
    </w:p>
    <w:p w:rsidR="00E627E7" w:rsidRPr="00871721" w:rsidRDefault="00E627E7" w:rsidP="00E627E7">
      <w:pPr>
        <w:jc w:val="both"/>
      </w:pPr>
      <w:r w:rsidRPr="00871721">
        <w:t xml:space="preserve">El 7 de octubre del 2014 Hidroeléctrica Aguas Zarcas (PHAZ) fue vendida a </w:t>
      </w:r>
      <w:proofErr w:type="spellStart"/>
      <w:r w:rsidRPr="00871721">
        <w:t>Coopelesca</w:t>
      </w:r>
      <w:proofErr w:type="spellEnd"/>
      <w:r w:rsidRPr="00871721">
        <w:t xml:space="preserve"> generando una ganancia neta superior a los CRC 16,500 millones.  </w:t>
      </w:r>
    </w:p>
    <w:p w:rsidR="00E627E7" w:rsidRPr="00871721" w:rsidRDefault="00E627E7" w:rsidP="00E627E7">
      <w:pPr>
        <w:jc w:val="both"/>
      </w:pPr>
    </w:p>
    <w:p w:rsidR="00E627E7" w:rsidRPr="00871721" w:rsidRDefault="00E627E7" w:rsidP="00E627E7">
      <w:pPr>
        <w:jc w:val="both"/>
      </w:pPr>
      <w:r w:rsidRPr="00871721">
        <w:t xml:space="preserve">En julio del año 2015 se da la fusión a nivel mundial de la cementera francesa Lafarge y </w:t>
      </w:r>
      <w:proofErr w:type="spellStart"/>
      <w:r w:rsidRPr="00871721">
        <w:t>Holcim</w:t>
      </w:r>
      <w:proofErr w:type="spellEnd"/>
      <w:r w:rsidRPr="00871721">
        <w:t xml:space="preserve">, resultando una nueva empresa llamada </w:t>
      </w:r>
      <w:proofErr w:type="spellStart"/>
      <w:r w:rsidRPr="00871721">
        <w:t>LafargeHolcim</w:t>
      </w:r>
      <w:proofErr w:type="spellEnd"/>
      <w:r w:rsidRPr="00871721">
        <w:t>.</w:t>
      </w:r>
    </w:p>
    <w:p w:rsidR="00E627E7" w:rsidRPr="00871721" w:rsidRDefault="00E627E7" w:rsidP="00E627E7">
      <w:pPr>
        <w:jc w:val="both"/>
      </w:pPr>
    </w:p>
    <w:p w:rsidR="00E627E7" w:rsidRPr="00871721" w:rsidRDefault="00E627E7" w:rsidP="00E627E7">
      <w:pPr>
        <w:jc w:val="both"/>
      </w:pPr>
      <w:r w:rsidRPr="00871721">
        <w:t>En septiembre del 2016 se venden las operaciones de Agregados y Concreto premezclado.</w:t>
      </w:r>
    </w:p>
    <w:p w:rsidR="00E627E7" w:rsidRPr="00871721" w:rsidRDefault="00E627E7" w:rsidP="00E627E7">
      <w:pPr>
        <w:jc w:val="both"/>
      </w:pPr>
    </w:p>
    <w:p w:rsidR="00E627E7" w:rsidRPr="00871721" w:rsidRDefault="00E627E7" w:rsidP="00E627E7">
      <w:pPr>
        <w:jc w:val="both"/>
      </w:pPr>
      <w:r w:rsidRPr="00871721">
        <w:t xml:space="preserve">En 2021 se decide a nivel global, y siguiendo votación de la asamblea de accionistas, el cambio del nombre y marca de la compañía </w:t>
      </w:r>
      <w:proofErr w:type="spellStart"/>
      <w:r w:rsidRPr="00871721">
        <w:t>LafargeHolcim</w:t>
      </w:r>
      <w:proofErr w:type="spellEnd"/>
      <w:r w:rsidRPr="00871721">
        <w:t xml:space="preserve"> a </w:t>
      </w:r>
      <w:proofErr w:type="spellStart"/>
      <w:r w:rsidRPr="00871721">
        <w:t>Holcim</w:t>
      </w:r>
      <w:proofErr w:type="spellEnd"/>
      <w:r w:rsidRPr="00871721">
        <w:t xml:space="preserve">. </w:t>
      </w:r>
    </w:p>
    <w:p w:rsidR="00E627E7" w:rsidRPr="00871721" w:rsidRDefault="00E627E7" w:rsidP="00E627E7">
      <w:pPr>
        <w:jc w:val="both"/>
      </w:pPr>
    </w:p>
    <w:p w:rsidR="00E627E7" w:rsidRPr="00871721" w:rsidRDefault="00E627E7" w:rsidP="00E627E7">
      <w:pPr>
        <w:jc w:val="both"/>
      </w:pPr>
      <w:r w:rsidRPr="00871721">
        <w:rPr>
          <w:color w:val="263238"/>
        </w:rPr>
        <w:t xml:space="preserve">En Julio de 2021, </w:t>
      </w:r>
      <w:proofErr w:type="spellStart"/>
      <w:r w:rsidRPr="00871721">
        <w:rPr>
          <w:color w:val="263238"/>
        </w:rPr>
        <w:t>Holcim</w:t>
      </w:r>
      <w:proofErr w:type="spellEnd"/>
      <w:r w:rsidRPr="00871721">
        <w:rPr>
          <w:color w:val="263238"/>
        </w:rPr>
        <w:t xml:space="preserve"> adquiere la autorización/aprobación de COPROCOM para adquirir el 51% de Agregados Guápiles S.A. y </w:t>
      </w:r>
      <w:proofErr w:type="spellStart"/>
      <w:r w:rsidRPr="00871721">
        <w:rPr>
          <w:color w:val="263238"/>
        </w:rPr>
        <w:t>Concretera</w:t>
      </w:r>
      <w:proofErr w:type="spellEnd"/>
      <w:r w:rsidRPr="00871721">
        <w:rPr>
          <w:color w:val="263238"/>
        </w:rPr>
        <w:t xml:space="preserve"> Nacional S.A., las cuales se habían vendido en 2016, para diversificar su portafolio de productos y brindar soluciones integrales a sus clientes. Adicionalment</w:t>
      </w:r>
      <w:r w:rsidRPr="00871721">
        <w:t xml:space="preserve">e, en junio de 2021, </w:t>
      </w:r>
      <w:proofErr w:type="spellStart"/>
      <w:r w:rsidRPr="00871721">
        <w:t>Holcim</w:t>
      </w:r>
      <w:proofErr w:type="spellEnd"/>
      <w:r w:rsidRPr="00871721">
        <w:t xml:space="preserve"> adquiere el 49% de las acciones en Tecnología de la Construcción S.A. (TDC) (entidad absorbida por </w:t>
      </w:r>
      <w:proofErr w:type="spellStart"/>
      <w:r w:rsidRPr="00871721">
        <w:t>Construcorp</w:t>
      </w:r>
      <w:proofErr w:type="spellEnd"/>
      <w:r w:rsidRPr="00871721">
        <w:t xml:space="preserve"> SA actualmente denominada </w:t>
      </w:r>
      <w:proofErr w:type="spellStart"/>
      <w:r w:rsidRPr="00871721">
        <w:t>Holcim</w:t>
      </w:r>
      <w:proofErr w:type="spellEnd"/>
      <w:r w:rsidRPr="00871721">
        <w:t xml:space="preserve"> Modular </w:t>
      </w:r>
      <w:proofErr w:type="spellStart"/>
      <w:r w:rsidRPr="00871721">
        <w:t>Solutions</w:t>
      </w:r>
      <w:proofErr w:type="spellEnd"/>
      <w:r w:rsidRPr="00871721">
        <w:t xml:space="preserve"> SA HMS).  El 1 de diciembre de 2022, </w:t>
      </w:r>
      <w:proofErr w:type="spellStart"/>
      <w:r w:rsidRPr="00871721">
        <w:t>Holcim</w:t>
      </w:r>
      <w:proofErr w:type="spellEnd"/>
      <w:r w:rsidRPr="00871721">
        <w:t xml:space="preserve"> adquirió el 51% restante de las acciones de Tecnología de la Construcción, obteniendo así el control de esta última. Momento en el cual obtuvo el control de la compañía y, por lo tanto, procedió a consolidarla en el estado financiero al 31 de diciembre de 2022.</w:t>
      </w:r>
    </w:p>
    <w:p w:rsidR="00E627E7" w:rsidRPr="00871721" w:rsidRDefault="00E627E7" w:rsidP="00E627E7">
      <w:pPr>
        <w:jc w:val="both"/>
      </w:pPr>
    </w:p>
    <w:p w:rsidR="00E627E7" w:rsidRPr="00871721" w:rsidRDefault="00E627E7" w:rsidP="00E627E7">
      <w:pPr>
        <w:jc w:val="both"/>
      </w:pPr>
      <w:r w:rsidRPr="00871721">
        <w:t xml:space="preserve">El 16 de enero de 2023 </w:t>
      </w:r>
      <w:proofErr w:type="spellStart"/>
      <w:r w:rsidRPr="00871721">
        <w:t>Holcim</w:t>
      </w:r>
      <w:proofErr w:type="spellEnd"/>
      <w:r w:rsidRPr="00871721">
        <w:t xml:space="preserve"> Costa Rica recibe la autorización de COPROCOM para adquirir el establecimiento mercantil de prefabricado pesado a través de su subsidiaria </w:t>
      </w:r>
      <w:proofErr w:type="spellStart"/>
      <w:r w:rsidRPr="00871721">
        <w:t>Holcim</w:t>
      </w:r>
      <w:proofErr w:type="spellEnd"/>
      <w:r w:rsidRPr="00871721">
        <w:t xml:space="preserve"> Modular </w:t>
      </w:r>
      <w:proofErr w:type="spellStart"/>
      <w:r w:rsidRPr="00871721">
        <w:t>Solutions</w:t>
      </w:r>
      <w:proofErr w:type="spellEnd"/>
      <w:r w:rsidRPr="00871721">
        <w:t xml:space="preserve">, S.A. (entidad subsidiaria 100% de </w:t>
      </w:r>
      <w:proofErr w:type="spellStart"/>
      <w:r w:rsidRPr="00871721">
        <w:t>Holcim</w:t>
      </w:r>
      <w:proofErr w:type="spellEnd"/>
      <w:r w:rsidRPr="00871721">
        <w:t xml:space="preserve"> Costa Rica, S.A.) y Productos de Concreto, S.A.  El 7 de febrero, el nuevo segmento de negocio de prefabricado es presentado al mercado bajo el nombre de </w:t>
      </w:r>
      <w:proofErr w:type="spellStart"/>
      <w:r w:rsidRPr="00871721">
        <w:t>Holcim</w:t>
      </w:r>
      <w:proofErr w:type="spellEnd"/>
      <w:r w:rsidRPr="00871721">
        <w:t xml:space="preserve"> Modular </w:t>
      </w:r>
      <w:proofErr w:type="spellStart"/>
      <w:r w:rsidRPr="00871721">
        <w:t>Solutions</w:t>
      </w:r>
      <w:proofErr w:type="spellEnd"/>
      <w:r w:rsidRPr="00871721">
        <w:t xml:space="preserve">. </w:t>
      </w:r>
    </w:p>
    <w:p w:rsidR="00E627E7" w:rsidRPr="00871721" w:rsidRDefault="00E627E7" w:rsidP="00E627E7">
      <w:pPr>
        <w:jc w:val="both"/>
      </w:pPr>
    </w:p>
    <w:p w:rsidR="00E627E7" w:rsidRPr="00871721" w:rsidRDefault="00E627E7" w:rsidP="00E627E7">
      <w:pPr>
        <w:jc w:val="both"/>
      </w:pPr>
      <w:r w:rsidRPr="00871721">
        <w:t xml:space="preserve">Mediante acuerdo de accionistas de fecha 22 de marzo de 2023 se aprueba la reforma al plazo social con fecha de </w:t>
      </w:r>
      <w:r w:rsidRPr="00871721">
        <w:rPr>
          <w:sz w:val="17"/>
          <w:szCs w:val="17"/>
        </w:rPr>
        <w:t xml:space="preserve">INICIO: 25/05/1960 y fecha de vencimiento al: 25/05/2060 </w:t>
      </w:r>
      <w:r w:rsidRPr="00871721">
        <w:t>según se comunicó en el Hecho Relevante CHR-1183 del 22 de marzo del 2023.</w:t>
      </w:r>
    </w:p>
    <w:p w:rsidR="00E627E7" w:rsidRPr="00871721" w:rsidRDefault="00E627E7" w:rsidP="00E627E7">
      <w:pPr>
        <w:jc w:val="both"/>
      </w:pPr>
    </w:p>
    <w:p w:rsidR="00E627E7" w:rsidRPr="00871721" w:rsidRDefault="00E627E7" w:rsidP="00E627E7">
      <w:pPr>
        <w:jc w:val="both"/>
      </w:pPr>
    </w:p>
    <w:p w:rsidR="00E627E7" w:rsidRPr="00871721" w:rsidRDefault="00E627E7" w:rsidP="00E627E7">
      <w:pPr>
        <w:jc w:val="both"/>
      </w:pPr>
      <w:r w:rsidRPr="00871721">
        <w:t xml:space="preserve">El 1 de noviembre de 2023, se realizó la fusión por absorción de las compañías </w:t>
      </w:r>
      <w:proofErr w:type="spellStart"/>
      <w:r w:rsidRPr="00871721">
        <w:t>Holcim</w:t>
      </w:r>
      <w:proofErr w:type="spellEnd"/>
      <w:r w:rsidRPr="00871721">
        <w:t xml:space="preserve"> Modular </w:t>
      </w:r>
      <w:proofErr w:type="spellStart"/>
      <w:r w:rsidRPr="00871721">
        <w:t>Solutions</w:t>
      </w:r>
      <w:proofErr w:type="spellEnd"/>
      <w:r w:rsidRPr="00871721">
        <w:t xml:space="preserve">, S.A. (antes </w:t>
      </w:r>
      <w:proofErr w:type="spellStart"/>
      <w:r w:rsidRPr="00871721">
        <w:t>Construcorp</w:t>
      </w:r>
      <w:proofErr w:type="spellEnd"/>
      <w:r w:rsidRPr="00871721">
        <w:t xml:space="preserve"> Internacional SCI, S.A.) y Tecnología de la Construcción TDC, S.A. (entidad absorbida por </w:t>
      </w:r>
      <w:proofErr w:type="spellStart"/>
      <w:r w:rsidRPr="00871721">
        <w:t>Construcorp</w:t>
      </w:r>
      <w:proofErr w:type="spellEnd"/>
      <w:r w:rsidRPr="00871721">
        <w:t xml:space="preserve"> SA actualmente denominada </w:t>
      </w:r>
      <w:proofErr w:type="spellStart"/>
      <w:r w:rsidRPr="00871721">
        <w:t>Holcim</w:t>
      </w:r>
      <w:proofErr w:type="spellEnd"/>
      <w:r w:rsidRPr="00871721">
        <w:t xml:space="preserve"> Modular </w:t>
      </w:r>
      <w:proofErr w:type="spellStart"/>
      <w:r w:rsidRPr="00871721">
        <w:t>Solutions</w:t>
      </w:r>
      <w:proofErr w:type="spellEnd"/>
      <w:r w:rsidRPr="00871721">
        <w:t xml:space="preserve"> SA HMS).</w:t>
      </w:r>
    </w:p>
    <w:p w:rsidR="00E627E7" w:rsidRPr="00871721" w:rsidRDefault="00E627E7" w:rsidP="00E627E7">
      <w:pPr>
        <w:jc w:val="both"/>
      </w:pPr>
    </w:p>
    <w:p w:rsidR="00E627E7" w:rsidRPr="00871721" w:rsidRDefault="00E627E7" w:rsidP="00E627E7">
      <w:pPr>
        <w:jc w:val="both"/>
      </w:pPr>
    </w:p>
    <w:p w:rsidR="00E627E7" w:rsidRPr="00871721" w:rsidRDefault="00E627E7" w:rsidP="00E627E7">
      <w:pPr>
        <w:jc w:val="both"/>
      </w:pPr>
    </w:p>
    <w:p w:rsidR="00E627E7" w:rsidRPr="00871721" w:rsidRDefault="00E627E7" w:rsidP="00E627E7">
      <w:pPr>
        <w:jc w:val="both"/>
        <w:rPr>
          <w:b/>
        </w:rPr>
      </w:pPr>
      <w:r w:rsidRPr="00871721">
        <w:rPr>
          <w:b/>
        </w:rPr>
        <w:t>Propiedades, plantas y equipo</w:t>
      </w:r>
    </w:p>
    <w:p w:rsidR="00E627E7" w:rsidRPr="00871721" w:rsidRDefault="00E627E7" w:rsidP="00E627E7">
      <w:pPr>
        <w:jc w:val="both"/>
      </w:pPr>
    </w:p>
    <w:p w:rsidR="00E627E7" w:rsidRPr="00871721" w:rsidRDefault="00E627E7" w:rsidP="00E627E7">
      <w:pPr>
        <w:jc w:val="both"/>
      </w:pPr>
      <w:r w:rsidRPr="00871721">
        <w:t>La planta de cemento está ubicada en Agua Caliente de Cartago, 5 kilómetros al sur de los Tribunales de Justicia y tiene un área total de 84 mil metros cuadrados.  Al cierre de 2022 la planta cuenta con una capacidad instalada de 1,116,000 toneladas/año de cemento.  Las reservas de materias primas se encuentran localizadas en Agua Caliente de Cartago, Azul de Turrialba y Llano Grande de Cartago.  En marzo del 2017 las operaciones financiero-administrativas fueron trasladadas a Pavas, San José.</w:t>
      </w:r>
    </w:p>
    <w:p w:rsidR="00E627E7" w:rsidRPr="00871721" w:rsidRDefault="00E627E7" w:rsidP="00E627E7">
      <w:pPr>
        <w:jc w:val="both"/>
      </w:pPr>
    </w:p>
    <w:p w:rsidR="00E627E7" w:rsidRPr="00871721" w:rsidRDefault="00E627E7" w:rsidP="00E627E7">
      <w:pPr>
        <w:jc w:val="both"/>
      </w:pPr>
      <w:r w:rsidRPr="00871721">
        <w:t>Por otra parte, nuestra actividad de fabricación de prefabricado se ubica en dos plantas: la primera de ellas en San Rafael de Alajuela, con una capacidad de producción de 140.000 toneladas/año de elementos prefabricados en concreto.  Nuestra segunda planta de prefabricados está ubicada en Guápiles y posee una capacidad de producción de 36,000 toneladas/año</w:t>
      </w:r>
    </w:p>
    <w:p w:rsidR="00E627E7" w:rsidRPr="00871721" w:rsidRDefault="00E627E7" w:rsidP="00E627E7">
      <w:pPr>
        <w:jc w:val="both"/>
      </w:pPr>
    </w:p>
    <w:p w:rsidR="00E627E7" w:rsidRPr="00871721" w:rsidRDefault="00E627E7" w:rsidP="00E627E7">
      <w:pPr>
        <w:jc w:val="both"/>
      </w:pPr>
      <w:r w:rsidRPr="00871721">
        <w:t xml:space="preserve">Poseemos además una operación de concreto, con una planta, que se ubica en </w:t>
      </w:r>
      <w:proofErr w:type="spellStart"/>
      <w:r w:rsidRPr="00871721">
        <w:t>Holcim</w:t>
      </w:r>
      <w:proofErr w:type="spellEnd"/>
      <w:r w:rsidRPr="00871721">
        <w:t xml:space="preserve"> Modular </w:t>
      </w:r>
      <w:proofErr w:type="spellStart"/>
      <w:r w:rsidRPr="00871721">
        <w:t>Solutions</w:t>
      </w:r>
      <w:proofErr w:type="spellEnd"/>
      <w:r w:rsidRPr="00871721">
        <w:t>, San Rafael de Alajuela, y posee una capacidad de producción de 13,200 m3 al año, con la expectativa de incrementar con la incorporación de nuevas plantas en 2024.</w:t>
      </w:r>
    </w:p>
    <w:p w:rsidR="00E627E7" w:rsidRPr="00871721" w:rsidRDefault="00E627E7" w:rsidP="00E627E7">
      <w:pPr>
        <w:jc w:val="both"/>
      </w:pPr>
      <w:r w:rsidRPr="00871721">
        <w:br w:type="page"/>
      </w:r>
    </w:p>
    <w:p w:rsidR="00E627E7" w:rsidRPr="00871721" w:rsidRDefault="00E627E7" w:rsidP="00E627E7">
      <w:pPr>
        <w:keepNext/>
        <w:jc w:val="center"/>
        <w:rPr>
          <w:b/>
          <w:sz w:val="28"/>
          <w:szCs w:val="28"/>
        </w:rPr>
      </w:pPr>
      <w:r w:rsidRPr="00871721">
        <w:rPr>
          <w:b/>
          <w:sz w:val="28"/>
          <w:szCs w:val="28"/>
        </w:rPr>
        <w:t>CAPÍTULO IV</w:t>
      </w:r>
    </w:p>
    <w:p w:rsidR="00E627E7" w:rsidRPr="00871721" w:rsidRDefault="00E627E7" w:rsidP="00E627E7">
      <w:pPr>
        <w:jc w:val="both"/>
      </w:pPr>
    </w:p>
    <w:p w:rsidR="00E627E7" w:rsidRPr="00871721" w:rsidRDefault="00E627E7" w:rsidP="00E627E7">
      <w:pPr>
        <w:jc w:val="both"/>
        <w:rPr>
          <w:b/>
        </w:rPr>
      </w:pPr>
      <w:r w:rsidRPr="00871721">
        <w:rPr>
          <w:b/>
        </w:rPr>
        <w:t>RESULTADOS DE OPERACIÓN Y FINANCIEROS E INFORMACIÓN PROSPECTIVA (OPINIÓN DE LA GERENCIA)</w:t>
      </w:r>
    </w:p>
    <w:p w:rsidR="00E627E7" w:rsidRPr="00871721" w:rsidRDefault="00E627E7" w:rsidP="00E627E7">
      <w:pPr>
        <w:jc w:val="both"/>
      </w:pPr>
    </w:p>
    <w:p w:rsidR="00E627E7" w:rsidRPr="00871721" w:rsidRDefault="00E627E7" w:rsidP="00E627E7">
      <w:pPr>
        <w:jc w:val="both"/>
      </w:pPr>
    </w:p>
    <w:p w:rsidR="00E627E7" w:rsidRPr="00871721" w:rsidRDefault="00E627E7" w:rsidP="00E627E7">
      <w:pPr>
        <w:jc w:val="both"/>
        <w:rPr>
          <w:b/>
        </w:rPr>
      </w:pPr>
      <w:r w:rsidRPr="00871721">
        <w:rPr>
          <w:b/>
        </w:rPr>
        <w:t xml:space="preserve">Contexto económico </w:t>
      </w:r>
    </w:p>
    <w:p w:rsidR="00E627E7" w:rsidRPr="00871721" w:rsidRDefault="00E627E7" w:rsidP="00E627E7">
      <w:pPr>
        <w:jc w:val="both"/>
        <w:rPr>
          <w:b/>
        </w:rPr>
      </w:pPr>
    </w:p>
    <w:p w:rsidR="00E627E7" w:rsidRPr="00871721" w:rsidRDefault="00E627E7" w:rsidP="00E627E7">
      <w:pPr>
        <w:jc w:val="both"/>
        <w:rPr>
          <w:b/>
        </w:rPr>
      </w:pPr>
      <w:r w:rsidRPr="00871721">
        <w:rPr>
          <w:b/>
        </w:rPr>
        <w:t xml:space="preserve">Economía internacional </w:t>
      </w:r>
    </w:p>
    <w:p w:rsidR="00E627E7" w:rsidRPr="00871721" w:rsidRDefault="00E627E7" w:rsidP="00E627E7">
      <w:pPr>
        <w:jc w:val="both"/>
        <w:rPr>
          <w:b/>
        </w:rPr>
      </w:pPr>
    </w:p>
    <w:p w:rsidR="00E627E7" w:rsidRPr="00871721" w:rsidRDefault="00E627E7" w:rsidP="00E627E7">
      <w:pPr>
        <w:jc w:val="both"/>
      </w:pPr>
      <w:r w:rsidRPr="00871721">
        <w:t xml:space="preserve">Considerando el estudio “Actualización de perspectivas de la economía mundial”, publicado por el Fondo Monetario Internacional en enero de 2024 y las observaciones del Banco Central de Costa Rica en su comunicado del 31 de enero de 2024, se describe un crecimiento mundial del 3.1% para 2023, 0.4pp por debajo del 2022.  </w:t>
      </w:r>
    </w:p>
    <w:p w:rsidR="00E627E7" w:rsidRPr="00871721" w:rsidRDefault="00E627E7" w:rsidP="00E627E7">
      <w:pPr>
        <w:jc w:val="both"/>
      </w:pPr>
    </w:p>
    <w:p w:rsidR="00E627E7" w:rsidRPr="00871721" w:rsidRDefault="00E627E7" w:rsidP="00E627E7">
      <w:pPr>
        <w:jc w:val="both"/>
      </w:pPr>
      <w:r w:rsidRPr="00871721">
        <w:t xml:space="preserve">Dicho crecimiento para 2023 se consideró moderado, como puntos a favor están la resiliencia no solo de Estados Unidos sino de economías emergentes y de estímulos fiscales en China, en parte por una desaceleración de la inflación y se espera que dicha tendencia continúe en 2024 y 2025.  Como factores en contra se nota que este fenómeno está siendo amortiguado por los gobiernos centrales mediante mayores restricciones económicas.   Las altas tasas de interés generaron pérdidas en acciones y títulos de renta fija en 2022 y crisis en las </w:t>
      </w:r>
      <w:proofErr w:type="spellStart"/>
      <w:r w:rsidRPr="00871721">
        <w:t>criptomonedas</w:t>
      </w:r>
      <w:proofErr w:type="spellEnd"/>
      <w:r w:rsidRPr="00871721">
        <w:t xml:space="preserve">, adicionalmente, se produjo el cierre de 3 bancos en EEUU y la venta de </w:t>
      </w:r>
      <w:proofErr w:type="spellStart"/>
      <w:r w:rsidRPr="00871721">
        <w:t>Credit</w:t>
      </w:r>
      <w:proofErr w:type="spellEnd"/>
      <w:r w:rsidRPr="00871721">
        <w:t xml:space="preserve"> </w:t>
      </w:r>
      <w:proofErr w:type="spellStart"/>
      <w:r w:rsidRPr="00871721">
        <w:t>Suisse</w:t>
      </w:r>
      <w:proofErr w:type="spellEnd"/>
      <w:r w:rsidRPr="00871721">
        <w:t>. Otro factor fueron las tensiones geopolíticas a saber: la guerra en Ucrania, los ataques en la franja de Gaza, relaciones complicadas entre EEUU y China, desigualdad y el descontento social.</w:t>
      </w:r>
    </w:p>
    <w:p w:rsidR="00E627E7" w:rsidRPr="00871721" w:rsidRDefault="00E627E7" w:rsidP="00E627E7">
      <w:pPr>
        <w:jc w:val="both"/>
      </w:pPr>
    </w:p>
    <w:p w:rsidR="00E627E7" w:rsidRPr="00871721" w:rsidRDefault="00E627E7" w:rsidP="00E627E7">
      <w:pPr>
        <w:jc w:val="both"/>
      </w:pPr>
    </w:p>
    <w:p w:rsidR="00E627E7" w:rsidRPr="00871721" w:rsidRDefault="00E627E7" w:rsidP="00E627E7">
      <w:pPr>
        <w:jc w:val="both"/>
        <w:rPr>
          <w:b/>
        </w:rPr>
      </w:pPr>
      <w:r w:rsidRPr="00871721">
        <w:rPr>
          <w:b/>
        </w:rPr>
        <w:t>Economía costarricense</w:t>
      </w:r>
    </w:p>
    <w:p w:rsidR="00E627E7" w:rsidRPr="00871721" w:rsidRDefault="00E627E7" w:rsidP="00E627E7">
      <w:pPr>
        <w:jc w:val="both"/>
        <w:rPr>
          <w:b/>
        </w:rPr>
      </w:pPr>
    </w:p>
    <w:p w:rsidR="00E627E7" w:rsidRPr="00871721" w:rsidRDefault="00E627E7" w:rsidP="00E627E7">
      <w:pPr>
        <w:jc w:val="both"/>
      </w:pPr>
      <w:r w:rsidRPr="00871721">
        <w:t>La economía costarricense en 2023 mostró tendencia favorable pues, según cifras del Banco Central, el 2022 cerró con un crecimiento del PIB de 4.6% y el 2023 con 5.1%</w:t>
      </w:r>
    </w:p>
    <w:p w:rsidR="00E627E7" w:rsidRPr="00871721" w:rsidRDefault="00E627E7" w:rsidP="00E627E7">
      <w:pPr>
        <w:jc w:val="both"/>
      </w:pPr>
    </w:p>
    <w:p w:rsidR="00E627E7" w:rsidRPr="00871721" w:rsidRDefault="00E627E7" w:rsidP="00E627E7">
      <w:pPr>
        <w:jc w:val="both"/>
      </w:pPr>
      <w:r w:rsidRPr="00871721">
        <w:t>De acuerdo a dicha entidad. al cierre del mes de diciembre destacan los siguientes factores</w:t>
      </w:r>
    </w:p>
    <w:p w:rsidR="00E627E7" w:rsidRPr="00871721" w:rsidRDefault="00E627E7" w:rsidP="00E627E7">
      <w:pPr>
        <w:numPr>
          <w:ilvl w:val="0"/>
          <w:numId w:val="4"/>
        </w:numPr>
        <w:jc w:val="both"/>
      </w:pPr>
      <w:r w:rsidRPr="00871721">
        <w:t>El régimen definitivo mantiene la mayor participación en el PIB y con tendencia a recuperarse tras la caída en 2do trimestre de 2022</w:t>
      </w:r>
    </w:p>
    <w:p w:rsidR="00E627E7" w:rsidRPr="00871721" w:rsidRDefault="00E627E7" w:rsidP="00E627E7">
      <w:pPr>
        <w:numPr>
          <w:ilvl w:val="0"/>
          <w:numId w:val="4"/>
        </w:numPr>
        <w:jc w:val="both"/>
      </w:pPr>
      <w:r w:rsidRPr="00871721">
        <w:t>La actividad productiva de los regímenes especiales creció a 13.7% a nivel anual, pero con desaceleración en los últimos meses del año</w:t>
      </w:r>
    </w:p>
    <w:p w:rsidR="00E627E7" w:rsidRPr="00871721" w:rsidRDefault="00E627E7" w:rsidP="00E627E7">
      <w:pPr>
        <w:jc w:val="both"/>
      </w:pPr>
    </w:p>
    <w:p w:rsidR="00E627E7" w:rsidRPr="00871721" w:rsidRDefault="00E627E7" w:rsidP="00E627E7">
      <w:pPr>
        <w:jc w:val="both"/>
      </w:pPr>
      <w:r w:rsidRPr="00871721">
        <w:rPr>
          <w:noProof/>
          <w:lang w:val="es-CR"/>
        </w:rPr>
        <w:drawing>
          <wp:inline distT="114300" distB="114300" distL="114300" distR="114300" wp14:anchorId="60834219" wp14:editId="268B95B2">
            <wp:extent cx="6188710" cy="1689100"/>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6188710" cy="1689100"/>
                    </a:xfrm>
                    <a:prstGeom prst="rect">
                      <a:avLst/>
                    </a:prstGeom>
                    <a:ln/>
                  </pic:spPr>
                </pic:pic>
              </a:graphicData>
            </a:graphic>
          </wp:inline>
        </w:drawing>
      </w:r>
    </w:p>
    <w:p w:rsidR="00E627E7" w:rsidRPr="00871721" w:rsidRDefault="00E627E7" w:rsidP="00E627E7">
      <w:pPr>
        <w:jc w:val="both"/>
      </w:pPr>
      <w:r w:rsidRPr="00871721">
        <w:t>En el caso del régimen definitivo su crecimiento estuvo determinado por el comercio, transporte y almacenamiento y la manufactura</w:t>
      </w:r>
      <w:r>
        <w:t xml:space="preserve">.  </w:t>
      </w:r>
      <w:r w:rsidRPr="00871721">
        <w:t>Además, también crecieron los servicios de administración pública, el grupo denominado “otros servicios” y la construcción, aunque a un ritmo más moderado.</w:t>
      </w:r>
    </w:p>
    <w:p w:rsidR="00E627E7" w:rsidRPr="00871721" w:rsidRDefault="00E627E7" w:rsidP="00E627E7">
      <w:pPr>
        <w:jc w:val="both"/>
      </w:pPr>
      <w:r w:rsidRPr="00871721">
        <w:t>Por todo lo anterior, en 2023 este régimen alcanzó un aumento de 3,5%.</w:t>
      </w:r>
    </w:p>
    <w:p w:rsidR="00E627E7" w:rsidRPr="00871721" w:rsidRDefault="00E627E7" w:rsidP="00E627E7">
      <w:pPr>
        <w:jc w:val="both"/>
      </w:pPr>
    </w:p>
    <w:p w:rsidR="00E627E7" w:rsidRPr="00871721" w:rsidRDefault="00E627E7" w:rsidP="00E627E7">
      <w:pPr>
        <w:jc w:val="both"/>
      </w:pPr>
      <w:r w:rsidRPr="00871721">
        <w:t>La producción de los regímenes especiales en diciembre creció 17,0% en promedio en 2023, particularmente la manufactura aumentó 12,7% en términos interanuales, asociada con la producción de implementos médicos, y conforme a lo indicado en otros informes, las actividades de servicios profesionales e informáticos mantuvieron un buen dinamismo que tendió a moderarse dado el alto crecimiento de la producción registrado partir del tercer trimestre del 2022.</w:t>
      </w:r>
    </w:p>
    <w:p w:rsidR="00E627E7" w:rsidRPr="00871721" w:rsidRDefault="00E627E7" w:rsidP="00E627E7">
      <w:pPr>
        <w:jc w:val="both"/>
      </w:pPr>
    </w:p>
    <w:p w:rsidR="00E627E7" w:rsidRPr="00871721" w:rsidRDefault="00E627E7" w:rsidP="00E627E7">
      <w:pPr>
        <w:jc w:val="both"/>
      </w:pPr>
      <w:r w:rsidRPr="00871721">
        <w:t>En materia de inflación, durante el segundo semestre del 2023, la inflación general interanual fue negativa (deflación), a causa en mayor medida, por la reversión de los choques de oferta externos y la política monetaria restrictiva.</w:t>
      </w:r>
    </w:p>
    <w:p w:rsidR="00E627E7" w:rsidRPr="00871721" w:rsidRDefault="00E627E7" w:rsidP="00E627E7">
      <w:pPr>
        <w:jc w:val="both"/>
      </w:pPr>
    </w:p>
    <w:p w:rsidR="00E627E7" w:rsidRPr="00871721" w:rsidRDefault="00E627E7" w:rsidP="00E627E7">
      <w:pPr>
        <w:jc w:val="both"/>
      </w:pPr>
    </w:p>
    <w:p w:rsidR="00E627E7" w:rsidRPr="00871721" w:rsidRDefault="00E627E7" w:rsidP="00E627E7">
      <w:pPr>
        <w:jc w:val="both"/>
      </w:pPr>
      <w:r w:rsidRPr="00871721">
        <w:t xml:space="preserve">Con relación a las políticas monetarias, el Banco Central (BCCR) redujo la tasa de política monetaria (TPM) en siete ocasiones, tomando en cuenta el comportamiento de la inflación.   </w:t>
      </w:r>
    </w:p>
    <w:p w:rsidR="00E627E7" w:rsidRPr="00871721" w:rsidRDefault="00E627E7" w:rsidP="00E627E7">
      <w:pPr>
        <w:jc w:val="both"/>
      </w:pPr>
    </w:p>
    <w:p w:rsidR="00E627E7" w:rsidRPr="00871721" w:rsidRDefault="00E627E7" w:rsidP="00E627E7">
      <w:pPr>
        <w:jc w:val="both"/>
      </w:pPr>
    </w:p>
    <w:p w:rsidR="00E627E7" w:rsidRPr="00871721" w:rsidRDefault="00E627E7" w:rsidP="00E627E7">
      <w:pPr>
        <w:jc w:val="both"/>
      </w:pPr>
      <w:r w:rsidRPr="00871721">
        <w:t>En materia cambiaria, durante el 2023 el sistema financiero nacional mostró una condición holgada de liquidez que ha ido en aumento, por la compra de dólares por parte del BCCR.  Dicha compra se dio en un marco de mayor disponibilidad de divisas en el mercado cambiario, gracias a la evolución de actividades económicas, como son las exportaciones de zonas francas, y en el caso del régimen definitivo algunas actividades agrícolas y el turismo.</w:t>
      </w:r>
    </w:p>
    <w:p w:rsidR="00E627E7" w:rsidRPr="00871721" w:rsidRDefault="00E627E7" w:rsidP="00E627E7">
      <w:pPr>
        <w:jc w:val="both"/>
      </w:pPr>
    </w:p>
    <w:p w:rsidR="00E627E7" w:rsidRPr="00871721" w:rsidRDefault="00E627E7" w:rsidP="00E627E7">
      <w:pPr>
        <w:jc w:val="both"/>
      </w:pPr>
      <w:r w:rsidRPr="00871721">
        <w:t xml:space="preserve">La alta disponibilidad de divisas se ha manifestado en una caída del tipo de cambio nominal, pese a la activa participación del BCCR como demandante neto. Al 31 de diciembre del 2023, el tipo de cambio promedio ponderado en </w:t>
      </w:r>
      <w:proofErr w:type="spellStart"/>
      <w:r w:rsidRPr="00871721">
        <w:t>Monex</w:t>
      </w:r>
      <w:proofErr w:type="spellEnd"/>
      <w:r w:rsidRPr="00871721">
        <w:t xml:space="preserve"> se ubicó en ¢ 523,46, lo que significa una variación interanual de -12.4% con respecto al término del 2022.</w:t>
      </w:r>
    </w:p>
    <w:p w:rsidR="00E627E7" w:rsidRPr="00871721" w:rsidRDefault="00E627E7" w:rsidP="00E627E7">
      <w:pPr>
        <w:jc w:val="both"/>
      </w:pPr>
    </w:p>
    <w:p w:rsidR="00E627E7" w:rsidRPr="00871721" w:rsidRDefault="00E627E7" w:rsidP="00E627E7">
      <w:pPr>
        <w:jc w:val="both"/>
        <w:rPr>
          <w:b/>
        </w:rPr>
      </w:pPr>
      <w:r w:rsidRPr="00871721">
        <w:rPr>
          <w:b/>
        </w:rPr>
        <w:t>Desempeño del sector construcción</w:t>
      </w:r>
    </w:p>
    <w:p w:rsidR="00E627E7" w:rsidRPr="00871721" w:rsidRDefault="00E627E7" w:rsidP="00E627E7">
      <w:pPr>
        <w:jc w:val="both"/>
      </w:pPr>
    </w:p>
    <w:p w:rsidR="00E627E7" w:rsidRPr="00871721" w:rsidRDefault="00E627E7" w:rsidP="00E627E7">
      <w:pPr>
        <w:jc w:val="both"/>
      </w:pPr>
    </w:p>
    <w:p w:rsidR="00E627E7" w:rsidRPr="00871721" w:rsidRDefault="00E627E7" w:rsidP="00E627E7">
      <w:pPr>
        <w:jc w:val="both"/>
      </w:pPr>
      <w:r w:rsidRPr="00871721">
        <w:t xml:space="preserve">De acuerdo con los datos del Banco Central, el primer semestre del 2023, la construcción mostró un comportamiento mixto: el primer trimestre, la variación interanual decreció su ritmo a un mensual promedio del -1.4% y el segundo trimestre a una tasa media del 7.6%. El indicador del IMAE reflejó aceleración a partir de abril y hasta diciembre en una variación promedio del 18%. Esta aceleración se debe a las obras con destino privado. Para octubre, sin embargo, se alcanza un máximo de 34% y a partir de noviembre tiende a desacelerar. </w:t>
      </w:r>
    </w:p>
    <w:p w:rsidR="00E627E7" w:rsidRPr="00871721" w:rsidRDefault="00E627E7" w:rsidP="00E627E7">
      <w:pPr>
        <w:jc w:val="both"/>
      </w:pPr>
    </w:p>
    <w:p w:rsidR="00E627E7" w:rsidRPr="00871721" w:rsidRDefault="00E627E7" w:rsidP="00E627E7">
      <w:pPr>
        <w:jc w:val="both"/>
      </w:pPr>
      <w:r w:rsidRPr="00871721">
        <w:rPr>
          <w:noProof/>
          <w:lang w:val="es-CR"/>
        </w:rPr>
        <w:drawing>
          <wp:inline distT="114300" distB="114300" distL="114300" distR="114300" wp14:anchorId="53FA949F" wp14:editId="4F247220">
            <wp:extent cx="6191250" cy="2298383"/>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6191250" cy="2298383"/>
                    </a:xfrm>
                    <a:prstGeom prst="rect">
                      <a:avLst/>
                    </a:prstGeom>
                    <a:ln/>
                  </pic:spPr>
                </pic:pic>
              </a:graphicData>
            </a:graphic>
          </wp:inline>
        </w:drawing>
      </w:r>
    </w:p>
    <w:p w:rsidR="00E627E7" w:rsidRPr="00871721" w:rsidRDefault="00E627E7" w:rsidP="00E627E7">
      <w:pPr>
        <w:jc w:val="both"/>
      </w:pPr>
    </w:p>
    <w:p w:rsidR="00E627E7" w:rsidRPr="00871721" w:rsidRDefault="00E627E7" w:rsidP="00E627E7">
      <w:pPr>
        <w:jc w:val="both"/>
      </w:pPr>
      <w:r w:rsidRPr="00871721">
        <w:t>En el caso particular de la construcción privada que es la que lleva la batuta en el comportamiento de la construcción del país y sobre todo tras un análisis más profundo se nota una correlación con el comportamiento del sector bajo régimen especial (principalmente zonas francas).</w:t>
      </w:r>
    </w:p>
    <w:p w:rsidR="00E627E7" w:rsidRPr="00871721" w:rsidRDefault="00E627E7" w:rsidP="00E627E7">
      <w:pPr>
        <w:jc w:val="both"/>
      </w:pPr>
    </w:p>
    <w:p w:rsidR="00E627E7" w:rsidRPr="00871721" w:rsidRDefault="00E627E7" w:rsidP="00E627E7">
      <w:pPr>
        <w:jc w:val="both"/>
      </w:pPr>
      <w:r w:rsidRPr="00871721">
        <w:rPr>
          <w:noProof/>
          <w:lang w:val="es-CR"/>
        </w:rPr>
        <w:drawing>
          <wp:inline distT="114300" distB="114300" distL="114300" distR="114300" wp14:anchorId="443B11B6" wp14:editId="29235606">
            <wp:extent cx="6188710" cy="2476500"/>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6188710" cy="2476500"/>
                    </a:xfrm>
                    <a:prstGeom prst="rect">
                      <a:avLst/>
                    </a:prstGeom>
                    <a:ln/>
                  </pic:spPr>
                </pic:pic>
              </a:graphicData>
            </a:graphic>
          </wp:inline>
        </w:drawing>
      </w:r>
    </w:p>
    <w:p w:rsidR="00E627E7" w:rsidRPr="00871721" w:rsidRDefault="00E627E7" w:rsidP="00E627E7">
      <w:pPr>
        <w:jc w:val="both"/>
      </w:pPr>
    </w:p>
    <w:p w:rsidR="00E627E7" w:rsidRPr="00871721" w:rsidRDefault="00E627E7" w:rsidP="00E627E7">
      <w:pPr>
        <w:jc w:val="both"/>
      </w:pPr>
      <w:r w:rsidRPr="00871721">
        <w:t>En el caso de la construcción pública, si bien la tasa de variación interanual tiende a comportarse al alza entre 2022 y 2023, lo cierto es que de acuerdo a estadísticas del BCCR y la Cámara Costarricense de la Construcción, la tendencia es decreciente desde noviembre de 2017 (período en que experimentó una importante desaceleración), se mantuvo inestable hasta febrero de 2021 donde entró en crisis.</w:t>
      </w:r>
    </w:p>
    <w:p w:rsidR="00E627E7" w:rsidRPr="00871721" w:rsidRDefault="00E627E7" w:rsidP="00E627E7">
      <w:pPr>
        <w:jc w:val="both"/>
      </w:pPr>
    </w:p>
    <w:p w:rsidR="00E627E7" w:rsidRPr="00871721" w:rsidRDefault="00E627E7" w:rsidP="00E627E7">
      <w:pPr>
        <w:jc w:val="both"/>
      </w:pPr>
      <w:r w:rsidRPr="00871721">
        <w:t>Para diciembre de 2023, se registra una variación interanual positiva del 4%, pero este indicador, aún se sitúa en niveles históricamente bajos.</w:t>
      </w:r>
    </w:p>
    <w:p w:rsidR="00E627E7" w:rsidRPr="00871721" w:rsidRDefault="00E627E7" w:rsidP="00E627E7">
      <w:pPr>
        <w:jc w:val="both"/>
      </w:pPr>
    </w:p>
    <w:p w:rsidR="00E627E7" w:rsidRPr="00871721" w:rsidRDefault="00E627E7" w:rsidP="00E627E7">
      <w:pPr>
        <w:jc w:val="both"/>
      </w:pPr>
    </w:p>
    <w:p w:rsidR="00E627E7" w:rsidRPr="00871721" w:rsidRDefault="00E627E7" w:rsidP="00E627E7">
      <w:pPr>
        <w:spacing w:after="160" w:line="259" w:lineRule="auto"/>
        <w:jc w:val="center"/>
      </w:pPr>
    </w:p>
    <w:p w:rsidR="00E627E7" w:rsidRPr="00871721" w:rsidRDefault="00E627E7" w:rsidP="00E627E7">
      <w:pPr>
        <w:jc w:val="both"/>
        <w:rPr>
          <w:b/>
        </w:rPr>
      </w:pPr>
      <w:r w:rsidRPr="00871721">
        <w:rPr>
          <w:b/>
        </w:rPr>
        <w:t xml:space="preserve">Nuestros logros: Grupo </w:t>
      </w:r>
      <w:proofErr w:type="spellStart"/>
      <w:r w:rsidRPr="00871721">
        <w:rPr>
          <w:b/>
        </w:rPr>
        <w:t>Holcim</w:t>
      </w:r>
      <w:proofErr w:type="spellEnd"/>
      <w:r w:rsidRPr="00871721">
        <w:rPr>
          <w:b/>
        </w:rPr>
        <w:t xml:space="preserve"> es una empresa global, que construye para las personas y el planeta a través de soluciones innovadoras, inteligentes, integrales y sostenibles para la construcción.</w:t>
      </w:r>
    </w:p>
    <w:p w:rsidR="00E627E7" w:rsidRPr="00871721" w:rsidRDefault="00E627E7" w:rsidP="00E627E7">
      <w:pPr>
        <w:jc w:val="both"/>
      </w:pPr>
    </w:p>
    <w:p w:rsidR="00E627E7" w:rsidRPr="00871721" w:rsidRDefault="00E627E7" w:rsidP="00E627E7">
      <w:pPr>
        <w:jc w:val="both"/>
        <w:rPr>
          <w:b/>
        </w:rPr>
      </w:pPr>
    </w:p>
    <w:p w:rsidR="00E627E7" w:rsidRPr="00871721" w:rsidRDefault="00E627E7" w:rsidP="00E627E7">
      <w:pPr>
        <w:jc w:val="both"/>
        <w:rPr>
          <w:b/>
        </w:rPr>
      </w:pPr>
      <w:r w:rsidRPr="00871721">
        <w:rPr>
          <w:b/>
        </w:rPr>
        <w:t>Acelerando el crecimiento sostenible</w:t>
      </w:r>
    </w:p>
    <w:p w:rsidR="00E627E7" w:rsidRPr="00871721" w:rsidRDefault="00E627E7" w:rsidP="00E627E7">
      <w:pPr>
        <w:jc w:val="both"/>
        <w:rPr>
          <w:b/>
        </w:rPr>
      </w:pPr>
    </w:p>
    <w:p w:rsidR="00E627E7" w:rsidRPr="00871721" w:rsidRDefault="00E627E7" w:rsidP="00E627E7">
      <w:pPr>
        <w:spacing w:line="276" w:lineRule="auto"/>
        <w:jc w:val="both"/>
      </w:pPr>
      <w:r w:rsidRPr="00871721">
        <w:t xml:space="preserve">Grupo </w:t>
      </w:r>
      <w:proofErr w:type="spellStart"/>
      <w:r w:rsidRPr="00871721">
        <w:t>Holcim</w:t>
      </w:r>
      <w:proofErr w:type="spellEnd"/>
      <w:r w:rsidRPr="00871721">
        <w:t xml:space="preserve"> tiene como prioridad principal y estrategia fundamental acelerar el crecimiento sostenible. Como líder mundial en soluciones innovadoras y sostenibles para la construcción, estamos a la vanguardia en la </w:t>
      </w:r>
      <w:proofErr w:type="spellStart"/>
      <w:r w:rsidRPr="00871721">
        <w:t>descarbonización</w:t>
      </w:r>
      <w:proofErr w:type="spellEnd"/>
      <w:r w:rsidRPr="00871721">
        <w:t xml:space="preserve"> de la construcción a lo largo de todo el ciclo de vida. Nuestro objetivo es construir un futuro con cero emisiones netas que beneficie tanto a las personas como al planeta.</w:t>
      </w:r>
    </w:p>
    <w:p w:rsidR="00E627E7" w:rsidRPr="00871721" w:rsidRDefault="00E627E7" w:rsidP="00E627E7">
      <w:pPr>
        <w:spacing w:line="276" w:lineRule="auto"/>
        <w:jc w:val="both"/>
      </w:pPr>
    </w:p>
    <w:p w:rsidR="00E627E7" w:rsidRPr="00871721" w:rsidRDefault="00E627E7" w:rsidP="00E627E7">
      <w:pPr>
        <w:spacing w:line="276" w:lineRule="auto"/>
        <w:jc w:val="both"/>
      </w:pPr>
      <w:r w:rsidRPr="00871721">
        <w:t xml:space="preserve">En </w:t>
      </w:r>
      <w:proofErr w:type="spellStart"/>
      <w:r w:rsidRPr="00871721">
        <w:t>Holcim</w:t>
      </w:r>
      <w:proofErr w:type="spellEnd"/>
      <w:r w:rsidRPr="00871721">
        <w:t xml:space="preserve"> Costa Rica, contamos con una hoja de ruta concreta de </w:t>
      </w:r>
      <w:proofErr w:type="spellStart"/>
      <w:r w:rsidRPr="00871721">
        <w:t>descarbonización</w:t>
      </w:r>
      <w:proofErr w:type="spellEnd"/>
      <w:r w:rsidRPr="00871721">
        <w:t xml:space="preserve"> al 2030, con proyectos claves que ya estamos implementando. Hemos identificado oportunidades para reducir nuestras emisiones de CO2, favoreciendo el uso de energía limpia y aplicando métodos de producción sostenibles. De manera integral, buscamos lograr un proceso con una huella ambiental menor, lo que nos permite llevar al mercado soluciones bajas en carbono y contribuir a la </w:t>
      </w:r>
      <w:proofErr w:type="spellStart"/>
      <w:r w:rsidRPr="00871721">
        <w:t>descarbonización</w:t>
      </w:r>
      <w:proofErr w:type="spellEnd"/>
      <w:r w:rsidRPr="00871721">
        <w:t xml:space="preserve"> de las ciudades. Así, construimos de una manera que beneficia tanto a las personas como al planeta.</w:t>
      </w:r>
    </w:p>
    <w:p w:rsidR="00E627E7" w:rsidRPr="00871721" w:rsidRDefault="00E627E7" w:rsidP="00E627E7">
      <w:pPr>
        <w:spacing w:line="276" w:lineRule="auto"/>
        <w:jc w:val="both"/>
      </w:pPr>
    </w:p>
    <w:p w:rsidR="00E627E7" w:rsidRPr="00871721" w:rsidRDefault="00E627E7" w:rsidP="00E627E7">
      <w:pPr>
        <w:spacing w:line="276" w:lineRule="auto"/>
        <w:jc w:val="both"/>
      </w:pPr>
      <w:r w:rsidRPr="00871721">
        <w:t xml:space="preserve">Las siguientes son las acciones más significativas impulsadas en 2023 dentro del marco de nuestra estrategia de sostenibilidad en sus cuatro pilares. </w:t>
      </w:r>
    </w:p>
    <w:p w:rsidR="00E627E7" w:rsidRPr="00871721" w:rsidRDefault="00E627E7" w:rsidP="00E627E7">
      <w:pPr>
        <w:spacing w:line="276" w:lineRule="auto"/>
        <w:jc w:val="both"/>
      </w:pPr>
    </w:p>
    <w:p w:rsidR="00E627E7" w:rsidRPr="00871721" w:rsidRDefault="00E627E7" w:rsidP="00E627E7">
      <w:pPr>
        <w:numPr>
          <w:ilvl w:val="2"/>
          <w:numId w:val="7"/>
        </w:numPr>
        <w:spacing w:line="276" w:lineRule="auto"/>
        <w:jc w:val="both"/>
        <w:rPr>
          <w:b/>
        </w:rPr>
      </w:pPr>
      <w:r w:rsidRPr="00871721">
        <w:rPr>
          <w:b/>
        </w:rPr>
        <w:t>ACCIÓN CLIMÁTICA</w:t>
      </w:r>
    </w:p>
    <w:p w:rsidR="00E627E7" w:rsidRPr="00871721" w:rsidRDefault="00E627E7" w:rsidP="00E627E7">
      <w:pPr>
        <w:spacing w:line="276" w:lineRule="auto"/>
        <w:jc w:val="both"/>
      </w:pPr>
    </w:p>
    <w:p w:rsidR="00E627E7" w:rsidRPr="00871721" w:rsidRDefault="00E627E7" w:rsidP="00E627E7">
      <w:pPr>
        <w:spacing w:line="276" w:lineRule="auto"/>
        <w:jc w:val="both"/>
      </w:pPr>
      <w:proofErr w:type="spellStart"/>
      <w:r w:rsidRPr="00871721">
        <w:t>Holcim</w:t>
      </w:r>
      <w:proofErr w:type="spellEnd"/>
      <w:r w:rsidRPr="00871721">
        <w:t xml:space="preserve"> ha marcado un hito al convertirse en la primera empresa de la industria en establecer objetivos de reducción de emisiones para 2030 y 2050, validados por la ciencia a través de la iniciativa </w:t>
      </w:r>
      <w:proofErr w:type="spellStart"/>
      <w:r w:rsidRPr="00871721">
        <w:t>Science</w:t>
      </w:r>
      <w:proofErr w:type="spellEnd"/>
      <w:r w:rsidRPr="00871721">
        <w:t xml:space="preserve"> </w:t>
      </w:r>
      <w:proofErr w:type="spellStart"/>
      <w:r w:rsidRPr="00871721">
        <w:t>Based</w:t>
      </w:r>
      <w:proofErr w:type="spellEnd"/>
      <w:r w:rsidRPr="00871721">
        <w:t xml:space="preserve"> Targets (</w:t>
      </w:r>
      <w:proofErr w:type="spellStart"/>
      <w:r w:rsidRPr="00871721">
        <w:t>SBTi</w:t>
      </w:r>
      <w:proofErr w:type="spellEnd"/>
      <w:r w:rsidRPr="00871721">
        <w:t>).</w:t>
      </w:r>
    </w:p>
    <w:p w:rsidR="00E627E7" w:rsidRPr="00871721" w:rsidRDefault="00E627E7" w:rsidP="00E627E7">
      <w:pPr>
        <w:spacing w:line="276" w:lineRule="auto"/>
        <w:jc w:val="both"/>
      </w:pPr>
    </w:p>
    <w:p w:rsidR="00E627E7" w:rsidRPr="00871721" w:rsidRDefault="00E627E7" w:rsidP="00E627E7">
      <w:pPr>
        <w:spacing w:line="276" w:lineRule="auto"/>
        <w:jc w:val="both"/>
      </w:pPr>
      <w:r w:rsidRPr="00871721">
        <w:t xml:space="preserve">Nuestro enfoque se centra en </w:t>
      </w:r>
      <w:proofErr w:type="spellStart"/>
      <w:r w:rsidRPr="00871721">
        <w:t>descarbonizar</w:t>
      </w:r>
      <w:proofErr w:type="spellEnd"/>
      <w:r w:rsidRPr="00871721">
        <w:t xml:space="preserve"> la construcción a lo largo de todo su ciclo de vida. Esto implica no solo reducir las emisiones asociadas al proceso de producción de cemento, sino también hacer que los edificios sean sostenibles durante su uso, mejorando su eficiencia energética.</w:t>
      </w:r>
    </w:p>
    <w:p w:rsidR="00E627E7" w:rsidRPr="00871721" w:rsidRDefault="00E627E7" w:rsidP="00E627E7">
      <w:pPr>
        <w:spacing w:line="276" w:lineRule="auto"/>
        <w:jc w:val="both"/>
      </w:pPr>
    </w:p>
    <w:p w:rsidR="00E627E7" w:rsidRPr="00871721" w:rsidRDefault="00E627E7" w:rsidP="00E627E7">
      <w:pPr>
        <w:spacing w:line="276" w:lineRule="auto"/>
        <w:jc w:val="both"/>
      </w:pPr>
      <w:r w:rsidRPr="00871721">
        <w:t xml:space="preserve">En Costa Rica, hemos actualizado nuestros objetivos climáticos para 2030, reafirmando nuestro compromiso con la </w:t>
      </w:r>
      <w:proofErr w:type="spellStart"/>
      <w:r w:rsidRPr="00871721">
        <w:t>descarbonización</w:t>
      </w:r>
      <w:proofErr w:type="spellEnd"/>
      <w:r w:rsidRPr="00871721">
        <w:t xml:space="preserve"> de la construcción. Para lograrlo, aplicamos la tecnología más avanzada y trabajamos arduamente en la reducción de nuestras emisiones.</w:t>
      </w:r>
    </w:p>
    <w:p w:rsidR="00E627E7" w:rsidRPr="00871721" w:rsidRDefault="00E627E7" w:rsidP="00E627E7">
      <w:pPr>
        <w:spacing w:line="276" w:lineRule="auto"/>
        <w:jc w:val="both"/>
      </w:pPr>
    </w:p>
    <w:p w:rsidR="00E627E7" w:rsidRPr="00871721" w:rsidRDefault="00E627E7" w:rsidP="00E627E7">
      <w:pPr>
        <w:spacing w:line="276" w:lineRule="auto"/>
        <w:jc w:val="both"/>
        <w:rPr>
          <w:b/>
        </w:rPr>
      </w:pPr>
      <w:r w:rsidRPr="00871721">
        <w:rPr>
          <w:b/>
        </w:rPr>
        <w:t>Formulación sostenible</w:t>
      </w:r>
    </w:p>
    <w:p w:rsidR="00E627E7" w:rsidRPr="00871721" w:rsidRDefault="00E627E7" w:rsidP="00E627E7">
      <w:pPr>
        <w:spacing w:line="276" w:lineRule="auto"/>
        <w:jc w:val="both"/>
      </w:pPr>
    </w:p>
    <w:p w:rsidR="00E627E7" w:rsidRPr="00871721" w:rsidRDefault="00E627E7" w:rsidP="00E627E7">
      <w:pPr>
        <w:spacing w:line="276" w:lineRule="auto"/>
        <w:jc w:val="both"/>
      </w:pPr>
      <w:r w:rsidRPr="00871721">
        <w:t>Gracias a nuestra optimización en formulación sostenible y uso de tecnología, contamos con un amplio portafolio de productos con bajas huellas de CO2, como lo son los cementos “</w:t>
      </w:r>
      <w:proofErr w:type="spellStart"/>
      <w:r w:rsidRPr="00871721">
        <w:t>ECOPlanet</w:t>
      </w:r>
      <w:proofErr w:type="spellEnd"/>
      <w:r w:rsidRPr="00871721">
        <w:t xml:space="preserve">”, que ofrecen una reducción de hasta el 45% en su huella de carbono al compararlo contra uno tipo patrón. Nuestras acciones realizadas en 2023 nos permitieron alcanzar una reducción de 32.5 kilos de CO2 por tonelada de material </w:t>
      </w:r>
      <w:proofErr w:type="spellStart"/>
      <w:r w:rsidRPr="00871721">
        <w:t>cementicio</w:t>
      </w:r>
      <w:proofErr w:type="spellEnd"/>
      <w:r w:rsidRPr="00871721">
        <w:t xml:space="preserve"> contra 2022 y, de esta forma, avanzamos en nuestro camino hacia la </w:t>
      </w:r>
      <w:proofErr w:type="spellStart"/>
      <w:r w:rsidRPr="00871721">
        <w:t>descarbonización</w:t>
      </w:r>
      <w:proofErr w:type="spellEnd"/>
      <w:r w:rsidRPr="00871721">
        <w:t xml:space="preserve">. </w:t>
      </w:r>
    </w:p>
    <w:p w:rsidR="00E627E7" w:rsidRPr="00871721" w:rsidRDefault="00E627E7" w:rsidP="00E627E7">
      <w:pPr>
        <w:spacing w:line="276" w:lineRule="auto"/>
        <w:jc w:val="both"/>
      </w:pPr>
    </w:p>
    <w:p w:rsidR="00E627E7" w:rsidRPr="00871721" w:rsidRDefault="00E627E7" w:rsidP="00E627E7">
      <w:pPr>
        <w:spacing w:line="276" w:lineRule="auto"/>
        <w:jc w:val="both"/>
      </w:pPr>
      <w:r w:rsidRPr="00871721">
        <w:t xml:space="preserve">Adicionalmente, lanzamos al mercado nuestro concreto verde, </w:t>
      </w:r>
      <w:proofErr w:type="spellStart"/>
      <w:r w:rsidRPr="00871721">
        <w:t>ECOPact</w:t>
      </w:r>
      <w:proofErr w:type="spellEnd"/>
      <w:r w:rsidRPr="00871721">
        <w:t>, el primero en Costa Rica que posee una reducción del 30% de CO</w:t>
      </w:r>
      <w:r w:rsidRPr="00871721">
        <w:rPr>
          <w:vertAlign w:val="subscript"/>
        </w:rPr>
        <w:t>2</w:t>
      </w:r>
      <w:r w:rsidRPr="00871721">
        <w:t>, respecto a los concretos tradicionales.</w:t>
      </w:r>
    </w:p>
    <w:p w:rsidR="00E627E7" w:rsidRPr="00871721" w:rsidRDefault="00E627E7" w:rsidP="00E627E7">
      <w:pPr>
        <w:spacing w:line="276" w:lineRule="auto"/>
        <w:jc w:val="both"/>
      </w:pPr>
    </w:p>
    <w:p w:rsidR="00E627E7" w:rsidRPr="00871721" w:rsidRDefault="00E627E7" w:rsidP="00E627E7">
      <w:pPr>
        <w:spacing w:line="276" w:lineRule="auto"/>
        <w:jc w:val="both"/>
        <w:rPr>
          <w:b/>
        </w:rPr>
      </w:pPr>
      <w:r w:rsidRPr="00871721">
        <w:rPr>
          <w:b/>
        </w:rPr>
        <w:t>Eficiencia energética</w:t>
      </w:r>
    </w:p>
    <w:p w:rsidR="00E627E7" w:rsidRPr="00871721" w:rsidRDefault="00E627E7" w:rsidP="00E627E7">
      <w:pPr>
        <w:spacing w:line="276" w:lineRule="auto"/>
        <w:jc w:val="both"/>
      </w:pPr>
    </w:p>
    <w:p w:rsidR="00E627E7" w:rsidRPr="00871721" w:rsidRDefault="00E627E7" w:rsidP="00E627E7">
      <w:pPr>
        <w:spacing w:line="276" w:lineRule="auto"/>
        <w:jc w:val="both"/>
      </w:pPr>
      <w:r w:rsidRPr="00871721">
        <w:t xml:space="preserve">Durante 2023 enfocamos nuestros esfuerzos en proyectos de optimización energética, por lo cual se diseñó e implementó un sistema automático de control de energía para aire comprimido en Planta Cemento, el cual permitió lograr una reducción del 13% de la energía utilizada en este proceso. Ello significó una reducción de 259.775 </w:t>
      </w:r>
      <w:proofErr w:type="spellStart"/>
      <w:r w:rsidRPr="00871721">
        <w:t>KWh</w:t>
      </w:r>
      <w:proofErr w:type="spellEnd"/>
      <w:r w:rsidRPr="00871721">
        <w:t>, lo cual lo convierte en el menor consumo en este rubro en los últimos 3 años.</w:t>
      </w:r>
    </w:p>
    <w:p w:rsidR="00E627E7" w:rsidRPr="00871721" w:rsidRDefault="00E627E7" w:rsidP="00E627E7">
      <w:pPr>
        <w:spacing w:line="276" w:lineRule="auto"/>
        <w:jc w:val="both"/>
      </w:pPr>
    </w:p>
    <w:p w:rsidR="00E627E7" w:rsidRPr="00871721" w:rsidRDefault="00E627E7" w:rsidP="00E627E7">
      <w:pPr>
        <w:spacing w:line="276" w:lineRule="auto"/>
        <w:jc w:val="both"/>
        <w:rPr>
          <w:b/>
        </w:rPr>
      </w:pPr>
      <w:r w:rsidRPr="00871721">
        <w:rPr>
          <w:b/>
        </w:rPr>
        <w:t>Combustibles alternativos</w:t>
      </w:r>
    </w:p>
    <w:p w:rsidR="00E627E7" w:rsidRPr="00871721" w:rsidRDefault="00E627E7" w:rsidP="00E627E7">
      <w:pPr>
        <w:spacing w:line="276" w:lineRule="auto"/>
        <w:jc w:val="both"/>
      </w:pPr>
    </w:p>
    <w:p w:rsidR="00E627E7" w:rsidRPr="00871721" w:rsidRDefault="00E627E7" w:rsidP="00E627E7">
      <w:pPr>
        <w:spacing w:line="276" w:lineRule="auto"/>
        <w:jc w:val="both"/>
      </w:pPr>
      <w:r w:rsidRPr="00871721">
        <w:t xml:space="preserve">En 2024, </w:t>
      </w:r>
      <w:proofErr w:type="spellStart"/>
      <w:r w:rsidRPr="00871721">
        <w:t>Holcim</w:t>
      </w:r>
      <w:proofErr w:type="spellEnd"/>
      <w:r w:rsidRPr="00871721">
        <w:t xml:space="preserve"> Costa Rica marcó un hito en la región al presentar un proyecto pionero para reducir significativamente la dependencia de combustibles fósiles en la producción de cemento. Con una inversión cercana a los US$15 millones en tecnología de última generación, la planta aumentará su capacidad para utilizar residuos como fuente de energía alternativa.</w:t>
      </w:r>
    </w:p>
    <w:p w:rsidR="00E627E7" w:rsidRPr="00871721" w:rsidRDefault="00E627E7" w:rsidP="00E627E7">
      <w:pPr>
        <w:spacing w:line="276" w:lineRule="auto"/>
        <w:jc w:val="both"/>
      </w:pPr>
    </w:p>
    <w:p w:rsidR="00E627E7" w:rsidRPr="00871721" w:rsidRDefault="00E627E7" w:rsidP="00E627E7">
      <w:pPr>
        <w:spacing w:line="276" w:lineRule="auto"/>
        <w:jc w:val="both"/>
      </w:pPr>
      <w:r w:rsidRPr="00871721">
        <w:t xml:space="preserve">En alianza con nuestra subsidiaria, </w:t>
      </w:r>
      <w:proofErr w:type="spellStart"/>
      <w:proofErr w:type="gramStart"/>
      <w:r w:rsidRPr="00871721">
        <w:t>Geocycle</w:t>
      </w:r>
      <w:proofErr w:type="spellEnd"/>
      <w:r>
        <w:t xml:space="preserve">  </w:t>
      </w:r>
      <w:r>
        <w:rPr>
          <w:sz w:val="20"/>
          <w:szCs w:val="20"/>
        </w:rPr>
        <w:t>(</w:t>
      </w:r>
      <w:proofErr w:type="gramEnd"/>
      <w:r>
        <w:rPr>
          <w:sz w:val="20"/>
          <w:szCs w:val="20"/>
        </w:rPr>
        <w:t xml:space="preserve">Desde 22 de abril de 2024 </w:t>
      </w:r>
      <w:proofErr w:type="spellStart"/>
      <w:r>
        <w:rPr>
          <w:sz w:val="20"/>
          <w:szCs w:val="20"/>
        </w:rPr>
        <w:t>Holcim</w:t>
      </w:r>
      <w:proofErr w:type="spellEnd"/>
      <w:r>
        <w:rPr>
          <w:sz w:val="20"/>
          <w:szCs w:val="20"/>
        </w:rPr>
        <w:t xml:space="preserve"> Costa Rica, S.A.)</w:t>
      </w:r>
      <w:r w:rsidRPr="00871721">
        <w:t>, recuperamos residuos con alto valor energético que son cuidadosamente seleccionados, evaluados y procesados para ser integrados al proceso de producción de cemento. De esta forma, convertimos un problema ambiental en una oportunidad para la sostenibilidad.</w:t>
      </w:r>
    </w:p>
    <w:p w:rsidR="00E627E7" w:rsidRPr="00871721" w:rsidRDefault="00E627E7" w:rsidP="00E627E7">
      <w:pPr>
        <w:spacing w:line="276" w:lineRule="auto"/>
        <w:jc w:val="both"/>
      </w:pPr>
    </w:p>
    <w:p w:rsidR="00E627E7" w:rsidRPr="00871721" w:rsidRDefault="00E627E7" w:rsidP="00E627E7">
      <w:pPr>
        <w:spacing w:line="276" w:lineRule="auto"/>
        <w:jc w:val="both"/>
      </w:pPr>
      <w:r w:rsidRPr="00871721">
        <w:t>Con esta inversión, la planta tendrá la capacidad de procesar el equivalente a la totalidad de los residuos generados por los habitantes de la ciudad de San José, transformándolos en un insumo vital para la producción de un nuevo producto: cemento sostenible. Este cambio estratégico permitirá reducir el uso de combustibles fósiles, contribuyendo a la lucha contra el cambio climático y a la construcción de un futuro más verde para Costa Rica y la región.</w:t>
      </w:r>
    </w:p>
    <w:p w:rsidR="00E627E7" w:rsidRPr="00871721" w:rsidRDefault="00E627E7" w:rsidP="00E627E7">
      <w:pPr>
        <w:spacing w:line="276" w:lineRule="auto"/>
        <w:jc w:val="both"/>
      </w:pPr>
    </w:p>
    <w:p w:rsidR="00E627E7" w:rsidRPr="00871721" w:rsidRDefault="00E627E7" w:rsidP="00E627E7">
      <w:pPr>
        <w:spacing w:line="276" w:lineRule="auto"/>
        <w:jc w:val="both"/>
      </w:pPr>
    </w:p>
    <w:p w:rsidR="00E627E7" w:rsidRPr="00871721" w:rsidRDefault="00E627E7" w:rsidP="00E627E7">
      <w:pPr>
        <w:spacing w:line="276" w:lineRule="auto"/>
        <w:jc w:val="both"/>
        <w:rPr>
          <w:b/>
        </w:rPr>
      </w:pPr>
      <w:r w:rsidRPr="00871721">
        <w:rPr>
          <w:b/>
        </w:rPr>
        <w:t>Análisis de tecnologías limpias para las operaciones</w:t>
      </w:r>
    </w:p>
    <w:p w:rsidR="00E627E7" w:rsidRPr="00871721" w:rsidRDefault="00E627E7" w:rsidP="00E627E7">
      <w:pPr>
        <w:spacing w:line="276" w:lineRule="auto"/>
        <w:jc w:val="both"/>
        <w:rPr>
          <w:b/>
        </w:rPr>
      </w:pPr>
    </w:p>
    <w:p w:rsidR="00E627E7" w:rsidRPr="00871721" w:rsidRDefault="00E627E7" w:rsidP="00E627E7">
      <w:pPr>
        <w:spacing w:line="276" w:lineRule="auto"/>
        <w:jc w:val="both"/>
      </w:pPr>
      <w:r w:rsidRPr="00871721">
        <w:t xml:space="preserve">Exploramos nuevos métodos para </w:t>
      </w:r>
      <w:proofErr w:type="spellStart"/>
      <w:r w:rsidRPr="00871721">
        <w:t>descarbonizar</w:t>
      </w:r>
      <w:proofErr w:type="spellEnd"/>
      <w:r w:rsidRPr="00871721">
        <w:t xml:space="preserve"> nuestras fuentes de energía y aumentar el uso de la energía alternativa y renovable en todas nuestras operaciones, como palanca clave para reducir las emisiones de Alcance 2, que provienen de la electricidad comprada para nuestros sitios. Por ello, analizamos un proyecto de un Sistema Solar para </w:t>
      </w:r>
      <w:proofErr w:type="spellStart"/>
      <w:r w:rsidRPr="00871721">
        <w:t>Geocycle</w:t>
      </w:r>
      <w:proofErr w:type="spellEnd"/>
      <w:r>
        <w:t xml:space="preserve"> </w:t>
      </w:r>
      <w:r>
        <w:rPr>
          <w:sz w:val="20"/>
          <w:szCs w:val="20"/>
        </w:rPr>
        <w:t xml:space="preserve">(Desde 22 de abril de 2024 </w:t>
      </w:r>
      <w:proofErr w:type="spellStart"/>
      <w:r>
        <w:rPr>
          <w:sz w:val="20"/>
          <w:szCs w:val="20"/>
        </w:rPr>
        <w:t>Holcim</w:t>
      </w:r>
      <w:proofErr w:type="spellEnd"/>
      <w:r>
        <w:rPr>
          <w:sz w:val="20"/>
          <w:szCs w:val="20"/>
        </w:rPr>
        <w:t xml:space="preserve"> Costa Rica, S.A.)</w:t>
      </w:r>
      <w:r w:rsidRPr="00871721">
        <w:t xml:space="preserve">, que le permitiría lograr una generación de 930.276 </w:t>
      </w:r>
      <w:proofErr w:type="spellStart"/>
      <w:r w:rsidRPr="00871721">
        <w:t>KWh</w:t>
      </w:r>
      <w:proofErr w:type="spellEnd"/>
      <w:r w:rsidRPr="00871721">
        <w:t xml:space="preserve"> por año, lo cual significaría una reducción de 58 tCO2 anuales.</w:t>
      </w:r>
    </w:p>
    <w:p w:rsidR="00E627E7" w:rsidRPr="00871721" w:rsidRDefault="00E627E7" w:rsidP="00E627E7">
      <w:pPr>
        <w:spacing w:line="276" w:lineRule="auto"/>
        <w:jc w:val="both"/>
        <w:rPr>
          <w:b/>
        </w:rPr>
      </w:pPr>
    </w:p>
    <w:p w:rsidR="00E627E7" w:rsidRPr="00871721" w:rsidRDefault="00E627E7" w:rsidP="00E627E7">
      <w:pPr>
        <w:numPr>
          <w:ilvl w:val="2"/>
          <w:numId w:val="7"/>
        </w:numPr>
        <w:shd w:val="clear" w:color="auto" w:fill="FFFFFF"/>
        <w:spacing w:before="240" w:after="240" w:line="276" w:lineRule="auto"/>
        <w:jc w:val="both"/>
        <w:rPr>
          <w:b/>
        </w:rPr>
      </w:pPr>
      <w:r w:rsidRPr="00871721">
        <w:rPr>
          <w:b/>
        </w:rPr>
        <w:t>ECONOMÍA CIRCULAR</w:t>
      </w:r>
    </w:p>
    <w:p w:rsidR="00E627E7" w:rsidRPr="00871721" w:rsidRDefault="00E627E7" w:rsidP="00E627E7">
      <w:pPr>
        <w:shd w:val="clear" w:color="auto" w:fill="FFFFFF"/>
        <w:spacing w:before="240" w:after="240" w:line="276" w:lineRule="auto"/>
        <w:jc w:val="both"/>
      </w:pPr>
      <w:r w:rsidRPr="00871721">
        <w:t>Creemos firmemente que el futuro de la construcción es circular. Reconocemos que los recursos naturales son limitados, y por ello, estamos adoptando operaciones circulares que nos permiten construir lo nuevo a partir de lo viejo. En lugar de seguir el enfoque lineal tradicional de “extraer, producir, desechar”, estamos avanzando hacia una economía circular que se basa en los principios de reducir, reutilizar, reciclar y repensar.</w:t>
      </w:r>
    </w:p>
    <w:p w:rsidR="00E627E7" w:rsidRPr="00871721" w:rsidRDefault="00E627E7" w:rsidP="00E627E7">
      <w:pPr>
        <w:shd w:val="clear" w:color="auto" w:fill="FFFFFF"/>
        <w:spacing w:before="240" w:after="240" w:line="276" w:lineRule="auto"/>
        <w:jc w:val="both"/>
      </w:pPr>
      <w:r w:rsidRPr="00871721">
        <w:t>La circularidad implica reducir los residuos, construir de manera más eficiente y fomentar iniciativas que promuevan la economía circular. Al aplicar este enfoque a lo largo de toda nuestra cadena de valor, estamos desconectando gradualmente el crecimiento de nuestro negocio de la dependencia de los recursos naturales.</w:t>
      </w:r>
    </w:p>
    <w:p w:rsidR="00E627E7" w:rsidRPr="00871721" w:rsidRDefault="00E627E7" w:rsidP="00E627E7">
      <w:pPr>
        <w:shd w:val="clear" w:color="auto" w:fill="FFFFFF"/>
        <w:spacing w:before="240" w:after="240" w:line="276" w:lineRule="auto"/>
        <w:jc w:val="both"/>
      </w:pPr>
      <w:r w:rsidRPr="00871721">
        <w:t xml:space="preserve">Durante el año 2023, procesamos el equivalente a solucionar la gestión de los residuos generados por los habitantes de Cartago centro y los transformamos en insumos valiosos para el proceso de producción de cemento. Aprovechamos sus recursos energéticos y minerales, evitando así su disposición en relleno sanitario. Uno de nuestros proyectos destacados es la “Recuperación Energética”, una iniciativa de </w:t>
      </w:r>
      <w:proofErr w:type="spellStart"/>
      <w:r w:rsidRPr="00871721">
        <w:t>descarbonización</w:t>
      </w:r>
      <w:proofErr w:type="spellEnd"/>
      <w:r w:rsidRPr="00871721">
        <w:t xml:space="preserve"> que representó una inversión cercana a US$15 millones.</w:t>
      </w:r>
    </w:p>
    <w:p w:rsidR="00E627E7" w:rsidRPr="00871721" w:rsidRDefault="00E627E7" w:rsidP="00E627E7">
      <w:pPr>
        <w:shd w:val="clear" w:color="auto" w:fill="FFFFFF"/>
        <w:spacing w:before="240" w:after="240" w:line="276" w:lineRule="auto"/>
        <w:jc w:val="both"/>
      </w:pPr>
      <w:r w:rsidRPr="00871721">
        <w:t xml:space="preserve">Adicional, este proyecto se enlaza con el llamado “Cero residuos a relleno” en nuestra subsidiaria </w:t>
      </w:r>
      <w:proofErr w:type="spellStart"/>
      <w:r w:rsidRPr="00871721">
        <w:t>Geocycle</w:t>
      </w:r>
      <w:proofErr w:type="spellEnd"/>
      <w:r>
        <w:t xml:space="preserve"> </w:t>
      </w:r>
      <w:r>
        <w:rPr>
          <w:sz w:val="20"/>
          <w:szCs w:val="20"/>
        </w:rPr>
        <w:t xml:space="preserve">(Desde 22 de abril de 2024 </w:t>
      </w:r>
      <w:proofErr w:type="spellStart"/>
      <w:r>
        <w:rPr>
          <w:sz w:val="20"/>
          <w:szCs w:val="20"/>
        </w:rPr>
        <w:t>Holcim</w:t>
      </w:r>
      <w:proofErr w:type="spellEnd"/>
      <w:r>
        <w:rPr>
          <w:sz w:val="20"/>
          <w:szCs w:val="20"/>
        </w:rPr>
        <w:t xml:space="preserve"> Costa Rica, S.A.)</w:t>
      </w:r>
      <w:r w:rsidRPr="00871721">
        <w:t>, que permitió evitar:</w:t>
      </w:r>
    </w:p>
    <w:p w:rsidR="00E627E7" w:rsidRPr="00871721" w:rsidRDefault="00E627E7" w:rsidP="00E627E7">
      <w:pPr>
        <w:numPr>
          <w:ilvl w:val="0"/>
          <w:numId w:val="2"/>
        </w:numPr>
        <w:shd w:val="clear" w:color="auto" w:fill="FFFFFF"/>
        <w:spacing w:before="240" w:line="276" w:lineRule="auto"/>
        <w:jc w:val="both"/>
      </w:pPr>
      <w:r w:rsidRPr="00871721">
        <w:t>El envío de más de 17.000 kg de residuos al relleno y encontrarles otra vía de disposición.</w:t>
      </w:r>
    </w:p>
    <w:p w:rsidR="00E627E7" w:rsidRPr="00871721" w:rsidRDefault="00E627E7" w:rsidP="00E627E7">
      <w:pPr>
        <w:numPr>
          <w:ilvl w:val="0"/>
          <w:numId w:val="2"/>
        </w:numPr>
        <w:shd w:val="clear" w:color="auto" w:fill="FFFFFF"/>
        <w:spacing w:line="276" w:lineRule="auto"/>
        <w:jc w:val="both"/>
      </w:pPr>
      <w:r w:rsidRPr="00871721">
        <w:t>La emisión de más de 21 tCO2 en relleno sanitario.</w:t>
      </w:r>
    </w:p>
    <w:p w:rsidR="00E627E7" w:rsidRPr="00871721" w:rsidRDefault="00E627E7" w:rsidP="00E627E7">
      <w:pPr>
        <w:numPr>
          <w:ilvl w:val="0"/>
          <w:numId w:val="2"/>
        </w:numPr>
        <w:shd w:val="clear" w:color="auto" w:fill="FFFFFF"/>
        <w:spacing w:after="240" w:line="276" w:lineRule="auto"/>
        <w:jc w:val="both"/>
      </w:pPr>
      <w:r w:rsidRPr="00871721">
        <w:t>El gasto por disposición de residuos en relleno.</w:t>
      </w:r>
    </w:p>
    <w:p w:rsidR="00E627E7" w:rsidRPr="00871721" w:rsidRDefault="00E627E7" w:rsidP="00E627E7">
      <w:pPr>
        <w:shd w:val="clear" w:color="auto" w:fill="FFFFFF"/>
        <w:spacing w:before="240" w:after="240" w:line="276" w:lineRule="auto"/>
        <w:jc w:val="both"/>
        <w:rPr>
          <w:b/>
        </w:rPr>
      </w:pPr>
    </w:p>
    <w:p w:rsidR="00E627E7" w:rsidRPr="00871721" w:rsidRDefault="00E627E7" w:rsidP="00E627E7">
      <w:pPr>
        <w:numPr>
          <w:ilvl w:val="2"/>
          <w:numId w:val="7"/>
        </w:numPr>
        <w:shd w:val="clear" w:color="auto" w:fill="FFFFFF"/>
        <w:spacing w:before="240" w:after="240" w:line="276" w:lineRule="auto"/>
        <w:jc w:val="both"/>
        <w:rPr>
          <w:b/>
        </w:rPr>
      </w:pPr>
      <w:r w:rsidRPr="00871721">
        <w:rPr>
          <w:b/>
        </w:rPr>
        <w:t>NATURALEZA Y RECURSOS</w:t>
      </w:r>
    </w:p>
    <w:p w:rsidR="00E627E7" w:rsidRPr="00871721" w:rsidRDefault="00E627E7" w:rsidP="00E627E7">
      <w:pPr>
        <w:shd w:val="clear" w:color="auto" w:fill="FFFFFF"/>
        <w:spacing w:before="240" w:after="240" w:line="276" w:lineRule="auto"/>
        <w:jc w:val="both"/>
      </w:pPr>
      <w:r w:rsidRPr="00871721">
        <w:t>Reconociendo la dependencia de nuestra industria de los recursos naturales, nos guiamos mediante objetivos basados en la ciencia para adaptar nuestras operaciones al entorno natural. Nuestro enfoque se centra en la protección de la biodiversidad y los recursos hídricos.</w:t>
      </w:r>
    </w:p>
    <w:p w:rsidR="00E627E7" w:rsidRPr="00871721" w:rsidRDefault="00E627E7" w:rsidP="00E627E7">
      <w:pPr>
        <w:shd w:val="clear" w:color="auto" w:fill="FFFFFF"/>
        <w:spacing w:before="240" w:after="240" w:line="276" w:lineRule="auto"/>
        <w:jc w:val="both"/>
      </w:pPr>
      <w:r w:rsidRPr="00871721">
        <w:t>A través de planes de rehabilitación y reabastecimiento de agua dulce, estamos mitigando nuestros impactos y contribuyendo positivamente tanto en nuestras operaciones como en las comunidades en las que operamos.</w:t>
      </w:r>
    </w:p>
    <w:p w:rsidR="00E627E7" w:rsidRPr="00871721" w:rsidRDefault="00E627E7" w:rsidP="00E627E7">
      <w:pPr>
        <w:shd w:val="clear" w:color="auto" w:fill="FFFFFF"/>
        <w:spacing w:before="240" w:after="240" w:line="276" w:lineRule="auto"/>
        <w:jc w:val="both"/>
      </w:pPr>
      <w:r w:rsidRPr="00871721">
        <w:t>En 2023, establecimos metas de reducción del consumo de agua para todas nuestras operaciones, comprometiéndonos a reducir un 20 % para el 2030.</w:t>
      </w:r>
    </w:p>
    <w:p w:rsidR="00E627E7" w:rsidRPr="00871721" w:rsidRDefault="00E627E7" w:rsidP="00E627E7">
      <w:pPr>
        <w:shd w:val="clear" w:color="auto" w:fill="FFFFFF"/>
        <w:spacing w:before="240" w:after="240" w:line="276" w:lineRule="auto"/>
        <w:jc w:val="both"/>
      </w:pPr>
      <w:r w:rsidRPr="00871721">
        <w:t>Para lograrlo, diseñamos el primer proyecto de cosecha de agua de lluvia en la planta de cemento. Este proyecto nos permitirá reducir al menos un 10 % de la cantidad de agua fresca utilizada y, al mismo tiempo, aprovechar unos 4.250 m³ en nuestro proceso.</w:t>
      </w:r>
    </w:p>
    <w:p w:rsidR="00E627E7" w:rsidRPr="00871721" w:rsidRDefault="00E627E7" w:rsidP="00E627E7">
      <w:pPr>
        <w:shd w:val="clear" w:color="auto" w:fill="FFFFFF"/>
        <w:spacing w:before="240" w:after="240" w:line="276" w:lineRule="auto"/>
        <w:jc w:val="both"/>
      </w:pPr>
      <w:r w:rsidRPr="00871721">
        <w:t>Además, continuamos con nuestros planes de biodiversidad. Durante 2023, llevamos a cabo la rehabilitación de nuestra cantera principal de caliza llamada “La Chilena”, plantando 500 árboles de 4 especies nativas distintas. Hasta la fecha, hemos rehabilitado con especies nativas el ecosistema en nuestras 3 canteras operativas.</w:t>
      </w:r>
    </w:p>
    <w:p w:rsidR="00E627E7" w:rsidRPr="00871721" w:rsidRDefault="00E627E7" w:rsidP="00E627E7">
      <w:pPr>
        <w:shd w:val="clear" w:color="auto" w:fill="FFFFFF"/>
        <w:spacing w:before="240" w:after="240" w:line="276" w:lineRule="auto"/>
        <w:jc w:val="both"/>
      </w:pPr>
    </w:p>
    <w:p w:rsidR="00E627E7" w:rsidRPr="00871721" w:rsidRDefault="00E627E7" w:rsidP="00E627E7">
      <w:pPr>
        <w:numPr>
          <w:ilvl w:val="2"/>
          <w:numId w:val="7"/>
        </w:numPr>
        <w:shd w:val="clear" w:color="auto" w:fill="FFFFFF"/>
        <w:spacing w:before="240" w:after="240" w:line="276" w:lineRule="auto"/>
        <w:jc w:val="both"/>
        <w:rPr>
          <w:b/>
        </w:rPr>
      </w:pPr>
      <w:r w:rsidRPr="00871721">
        <w:rPr>
          <w:b/>
        </w:rPr>
        <w:t>PERSONAS</w:t>
      </w:r>
    </w:p>
    <w:p w:rsidR="00E627E7" w:rsidRPr="00871721" w:rsidRDefault="00E627E7" w:rsidP="00E627E7">
      <w:pPr>
        <w:shd w:val="clear" w:color="auto" w:fill="FFFFFF"/>
        <w:spacing w:before="240" w:after="240" w:line="276" w:lineRule="auto"/>
        <w:jc w:val="both"/>
      </w:pPr>
      <w:r w:rsidRPr="00871721">
        <w:t>Para prosperar con nuestra gente y nuestras comunidades, hemos trabajado por integrar una mirada de derechos humanos en todas nuestras actividades empresariales, respetando las normas más estrictas en materia de derechos humanos, incluyendo a nuestra cadena de suministro.</w:t>
      </w:r>
    </w:p>
    <w:p w:rsidR="00E627E7" w:rsidRPr="00871721" w:rsidRDefault="00E627E7" w:rsidP="00E627E7">
      <w:pPr>
        <w:shd w:val="clear" w:color="auto" w:fill="FFFFFF"/>
        <w:spacing w:before="240" w:after="240" w:line="276" w:lineRule="auto"/>
        <w:jc w:val="both"/>
      </w:pPr>
      <w:r w:rsidRPr="00871721">
        <w:t xml:space="preserve">También invertimos en numerosas iniciativas sociales para impulsar el desarrollo en nuestras comunidades. </w:t>
      </w:r>
    </w:p>
    <w:p w:rsidR="00E627E7" w:rsidRPr="00871721" w:rsidRDefault="00E627E7" w:rsidP="00E627E7">
      <w:pPr>
        <w:shd w:val="clear" w:color="auto" w:fill="FFFFFF"/>
        <w:spacing w:before="240" w:after="240" w:line="276" w:lineRule="auto"/>
        <w:jc w:val="both"/>
      </w:pPr>
      <w:r w:rsidRPr="00871721">
        <w:t>Los siguientes son los resultados de algunos de nuestros programas:</w:t>
      </w:r>
    </w:p>
    <w:p w:rsidR="00E627E7" w:rsidRPr="00871721" w:rsidRDefault="00E627E7" w:rsidP="00E627E7">
      <w:pPr>
        <w:numPr>
          <w:ilvl w:val="0"/>
          <w:numId w:val="9"/>
        </w:numPr>
        <w:spacing w:line="276" w:lineRule="auto"/>
        <w:jc w:val="both"/>
        <w:rPr>
          <w:b/>
        </w:rPr>
      </w:pPr>
      <w:r w:rsidRPr="00871721">
        <w:rPr>
          <w:b/>
        </w:rPr>
        <w:t xml:space="preserve">Recuperación de la </w:t>
      </w:r>
      <w:proofErr w:type="spellStart"/>
      <w:r w:rsidRPr="00871721">
        <w:rPr>
          <w:b/>
        </w:rPr>
        <w:t>subcuenca</w:t>
      </w:r>
      <w:proofErr w:type="spellEnd"/>
      <w:r w:rsidRPr="00871721">
        <w:rPr>
          <w:b/>
        </w:rPr>
        <w:t xml:space="preserve"> del río Agua Caliente</w:t>
      </w:r>
    </w:p>
    <w:p w:rsidR="00E627E7" w:rsidRPr="00871721" w:rsidRDefault="00E627E7" w:rsidP="00E627E7">
      <w:pPr>
        <w:spacing w:line="276" w:lineRule="auto"/>
        <w:ind w:left="720"/>
        <w:jc w:val="both"/>
      </w:pPr>
      <w:r w:rsidRPr="00871721">
        <w:t>Es un proyecto ambiental, seleccionado por la comunidad, que consiste en recuperar la salud del principal afluente que atraviesa las comunidades cercanas a nuestra planta de cemento, el cual presenta serios problemas de contaminación. Beneficia a unas 4 mil personas, el proyecto se extenderá hasta 2025.</w:t>
      </w:r>
    </w:p>
    <w:p w:rsidR="00E627E7" w:rsidRPr="00871721" w:rsidRDefault="00E627E7" w:rsidP="00E627E7">
      <w:pPr>
        <w:spacing w:line="276" w:lineRule="auto"/>
        <w:ind w:left="720"/>
        <w:jc w:val="both"/>
      </w:pPr>
    </w:p>
    <w:p w:rsidR="00E627E7" w:rsidRPr="00871721" w:rsidRDefault="00E627E7" w:rsidP="00E627E7">
      <w:pPr>
        <w:numPr>
          <w:ilvl w:val="0"/>
          <w:numId w:val="12"/>
        </w:numPr>
        <w:spacing w:line="276" w:lineRule="auto"/>
        <w:jc w:val="both"/>
        <w:rPr>
          <w:b/>
        </w:rPr>
      </w:pPr>
      <w:r w:rsidRPr="00871721">
        <w:rPr>
          <w:b/>
        </w:rPr>
        <w:t>Desarrollo de habilidades empresariales para emprendedores de Cartago</w:t>
      </w:r>
    </w:p>
    <w:p w:rsidR="00E627E7" w:rsidRPr="00871721" w:rsidRDefault="00E627E7" w:rsidP="00E627E7">
      <w:pPr>
        <w:spacing w:line="276" w:lineRule="auto"/>
        <w:ind w:left="720"/>
        <w:jc w:val="both"/>
      </w:pPr>
      <w:r w:rsidRPr="00871721">
        <w:t>Perteneciente al pilar de capacitación y habilidades, responde a una problemática común posterior a la pandemia: el desempleo. El programa comprende el desarrollo de habilidades empresariales básicas para emprendedores en diferentes etapas de madurez, con foco en la segmentación de clientes, propuesta de valor, canales de venta y relación con clientes. La inversión permitió formar a 25 emprendedores, quienes con estos conocimientos generarán los ingresos para sacar adelante a sus familias.</w:t>
      </w:r>
    </w:p>
    <w:p w:rsidR="00E627E7" w:rsidRPr="00871721" w:rsidRDefault="00E627E7" w:rsidP="00E627E7">
      <w:pPr>
        <w:spacing w:line="276" w:lineRule="auto"/>
        <w:jc w:val="both"/>
      </w:pPr>
    </w:p>
    <w:p w:rsidR="00E627E7" w:rsidRPr="00871721" w:rsidRDefault="00E627E7" w:rsidP="00E627E7">
      <w:pPr>
        <w:numPr>
          <w:ilvl w:val="0"/>
          <w:numId w:val="12"/>
        </w:numPr>
        <w:spacing w:line="276" w:lineRule="auto"/>
        <w:jc w:val="both"/>
        <w:rPr>
          <w:b/>
        </w:rPr>
      </w:pPr>
      <w:r w:rsidRPr="00871721">
        <w:rPr>
          <w:b/>
        </w:rPr>
        <w:t xml:space="preserve">Huertas sostenibles y manejo de residuos orgánicos mediante </w:t>
      </w:r>
      <w:proofErr w:type="spellStart"/>
      <w:r w:rsidRPr="00871721">
        <w:rPr>
          <w:b/>
        </w:rPr>
        <w:t>composteras</w:t>
      </w:r>
      <w:proofErr w:type="spellEnd"/>
    </w:p>
    <w:p w:rsidR="00E627E7" w:rsidRPr="00871721" w:rsidRDefault="00E627E7" w:rsidP="00E627E7">
      <w:pPr>
        <w:spacing w:line="276" w:lineRule="auto"/>
        <w:ind w:left="720"/>
        <w:jc w:val="both"/>
      </w:pPr>
      <w:r w:rsidRPr="00871721">
        <w:t xml:space="preserve">Corresponde al pilar ambiental e involucra a escuelas y colegios cercanos a nuestra operación en Agua Caliente de Cartago. Educa a los jóvenes para que, mediante estas huertas, aprendan a realizar un manejo adecuado de los residuos orgánicos, bajo un principio de circularidad y producción sustentable. La inversión beneficia a unas 2.200 personas entre estudiantes, cuerpo docente y familiares. </w:t>
      </w:r>
    </w:p>
    <w:p w:rsidR="00E627E7" w:rsidRPr="00871721" w:rsidRDefault="00E627E7" w:rsidP="00E627E7">
      <w:pPr>
        <w:jc w:val="both"/>
      </w:pPr>
    </w:p>
    <w:p w:rsidR="00E627E7" w:rsidRPr="00871721" w:rsidRDefault="00E627E7" w:rsidP="00E627E7">
      <w:pPr>
        <w:spacing w:before="240" w:after="240"/>
        <w:jc w:val="both"/>
        <w:rPr>
          <w:b/>
        </w:rPr>
      </w:pPr>
      <w:r w:rsidRPr="00871721">
        <w:rPr>
          <w:b/>
        </w:rPr>
        <w:t>Colaboradores</w:t>
      </w:r>
    </w:p>
    <w:p w:rsidR="00E627E7" w:rsidRPr="00871721" w:rsidRDefault="00E627E7" w:rsidP="00E627E7">
      <w:pPr>
        <w:spacing w:before="240" w:after="240"/>
        <w:jc w:val="both"/>
      </w:pPr>
      <w:r w:rsidRPr="00871721">
        <w:t>Creemos que nuestros colaboradores son la clave para llevar a cabo nuestra ambición de ser constructores de progreso para el país. Nos esforzamos por atraer y retener al mejor talento disponible en el mercado, ofreciendo un ambiente de trabajo retador, inclusivo y que promueve el desarrollo del talento.</w:t>
      </w:r>
    </w:p>
    <w:p w:rsidR="00E627E7" w:rsidRPr="00871721" w:rsidRDefault="00E627E7" w:rsidP="00E627E7">
      <w:pPr>
        <w:spacing w:before="240" w:after="240"/>
        <w:jc w:val="both"/>
      </w:pPr>
      <w:r w:rsidRPr="00871721">
        <w:t>Nos aseguramos de respetar la diversidad, igualdad de oportunidades, no discriminación, inclusión y participación, accesibilidad y corresponsabilidad en todas nuestras operaciones. Todo esto nos permite gestionar el negocio con eficiencia, promover la innovación y el trabajo colaborativo.</w:t>
      </w:r>
    </w:p>
    <w:p w:rsidR="00E627E7" w:rsidRPr="00871721" w:rsidRDefault="00E627E7" w:rsidP="00E627E7">
      <w:pPr>
        <w:spacing w:before="240" w:after="240"/>
        <w:jc w:val="both"/>
      </w:pPr>
      <w:r w:rsidRPr="00871721">
        <w:t xml:space="preserve"> </w:t>
      </w:r>
    </w:p>
    <w:p w:rsidR="00E627E7" w:rsidRPr="00871721" w:rsidRDefault="00E627E7" w:rsidP="00E627E7">
      <w:pPr>
        <w:spacing w:before="240" w:after="240"/>
        <w:jc w:val="both"/>
      </w:pPr>
      <w:r w:rsidRPr="00871721">
        <w:rPr>
          <w:b/>
        </w:rPr>
        <w:t>Atracción de talento</w:t>
      </w:r>
      <w:r w:rsidRPr="00871721">
        <w:t xml:space="preserve"> </w:t>
      </w:r>
    </w:p>
    <w:p w:rsidR="00E627E7" w:rsidRPr="00871721" w:rsidRDefault="00E627E7" w:rsidP="00E627E7">
      <w:pPr>
        <w:spacing w:before="240" w:after="240"/>
        <w:jc w:val="both"/>
      </w:pPr>
      <w:r w:rsidRPr="00871721">
        <w:t xml:space="preserve">En </w:t>
      </w:r>
      <w:proofErr w:type="spellStart"/>
      <w:r w:rsidRPr="00871721">
        <w:t>Holcim</w:t>
      </w:r>
      <w:proofErr w:type="spellEnd"/>
      <w:r w:rsidRPr="00871721">
        <w:t xml:space="preserve"> Costa Rica estamos construyendo un futuro más sostenible e innovador a través de la atracción de talentos apasionados, curiosos y colaborativos que deseen crecer y desarrollarse en nuestra cultura inclusiva y de alto rendimiento. Como líderes globales en soluciones de construcción sostenibles, estamos comprometidos con la búsqueda constante de talentos jóvenes y dinámicos para que puedan aportar su visión innovadora al negocio.</w:t>
      </w:r>
    </w:p>
    <w:p w:rsidR="00E627E7" w:rsidRPr="00871721" w:rsidRDefault="00E627E7" w:rsidP="00E627E7">
      <w:pPr>
        <w:spacing w:before="240" w:after="240"/>
        <w:jc w:val="both"/>
      </w:pPr>
      <w:r w:rsidRPr="00871721">
        <w:t xml:space="preserve">Estamos orgullosos de haber logrado avances significativos en nuestra búsqueda de la equidad en los procesos de selección de personal. En 2023, logramos aproximadamente un 20% de participación de mujeres en toda la organización y más de un 35% de participación en los Comités de Liderazgo, Cultura y Bienestar. </w:t>
      </w:r>
    </w:p>
    <w:p w:rsidR="00E627E7" w:rsidRPr="00871721" w:rsidRDefault="00E627E7" w:rsidP="00E627E7">
      <w:pPr>
        <w:spacing w:before="240" w:after="240"/>
        <w:jc w:val="both"/>
      </w:pPr>
      <w:r w:rsidRPr="00871721">
        <w:t xml:space="preserve">En </w:t>
      </w:r>
      <w:proofErr w:type="spellStart"/>
      <w:r w:rsidRPr="00871721">
        <w:t>Holcim</w:t>
      </w:r>
      <w:proofErr w:type="spellEnd"/>
      <w:r w:rsidRPr="00871721">
        <w:t xml:space="preserve">, ofrecemos programas de atracción de talento joven y brindamos oportunidades para que las nuevas generaciones puedan desarrollarse y crecer en nuestra organización. Creemos que la diversidad y la inclusión son fundamentales para la innovación y el crecimiento, por lo que nos esforzamos por crear un ambiente de trabajo inclusivo que promueva el respeto, la igualdad de oportunidades, la no discriminación, la accesibilidad, la corresponsabilidad y la participación de todos nuestros colaboradores.  </w:t>
      </w:r>
    </w:p>
    <w:p w:rsidR="00E627E7" w:rsidRPr="00871721" w:rsidRDefault="00E627E7" w:rsidP="00E627E7">
      <w:pPr>
        <w:spacing w:before="240" w:after="240"/>
        <w:jc w:val="both"/>
      </w:pPr>
      <w:r w:rsidRPr="00871721">
        <w:t xml:space="preserve">Además, renovamos nuestra certificación en la Norma de Sistema de Gestión para la Igualdad de Género (INTE G38:2015). En </w:t>
      </w:r>
      <w:proofErr w:type="spellStart"/>
      <w:r w:rsidRPr="00871721">
        <w:t>Holcim</w:t>
      </w:r>
      <w:proofErr w:type="spellEnd"/>
      <w:r w:rsidRPr="00871721">
        <w:t xml:space="preserve"> Costa Rica, nos enorgullece haber establecido nuestro propio sistema de gestión para la igualdad de género, basado en el respeto a los derechos individuales y el compromiso con el desarrollo humano integral. </w:t>
      </w:r>
    </w:p>
    <w:p w:rsidR="00E627E7" w:rsidRPr="00871721" w:rsidRDefault="00E627E7" w:rsidP="00E627E7">
      <w:pPr>
        <w:jc w:val="both"/>
        <w:rPr>
          <w:b/>
          <w:color w:val="0000FF"/>
        </w:rPr>
      </w:pPr>
    </w:p>
    <w:p w:rsidR="00E627E7" w:rsidRPr="00871721" w:rsidRDefault="00E627E7" w:rsidP="00E627E7">
      <w:pPr>
        <w:jc w:val="both"/>
        <w:rPr>
          <w:b/>
          <w:i/>
        </w:rPr>
      </w:pPr>
      <w:r w:rsidRPr="00871721">
        <w:rPr>
          <w:b/>
        </w:rPr>
        <w:t xml:space="preserve">Salud y Seguridad: 100% de cumplimiento de indicadores y </w:t>
      </w:r>
      <w:r w:rsidRPr="00871721">
        <w:rPr>
          <w:b/>
          <w:i/>
        </w:rPr>
        <w:t>CERO accidentes incapacitantes</w:t>
      </w:r>
    </w:p>
    <w:p w:rsidR="00E627E7" w:rsidRPr="00871721" w:rsidRDefault="00E627E7" w:rsidP="00E627E7">
      <w:pPr>
        <w:jc w:val="both"/>
        <w:rPr>
          <w:b/>
        </w:rPr>
      </w:pPr>
    </w:p>
    <w:p w:rsidR="00E627E7" w:rsidRPr="00871721" w:rsidRDefault="00E627E7" w:rsidP="00E627E7">
      <w:pPr>
        <w:jc w:val="both"/>
      </w:pPr>
      <w:r w:rsidRPr="00871721">
        <w:t xml:space="preserve">El trabajo realizado por la operación de Costa Rica en materia de seguridad nos valió el reconocimiento HSE </w:t>
      </w:r>
      <w:proofErr w:type="spellStart"/>
      <w:r w:rsidRPr="00871721">
        <w:t>Excellence</w:t>
      </w:r>
      <w:proofErr w:type="spellEnd"/>
      <w:r w:rsidRPr="00871721">
        <w:t xml:space="preserve"> </w:t>
      </w:r>
      <w:proofErr w:type="spellStart"/>
      <w:r w:rsidRPr="00871721">
        <w:t>Awards</w:t>
      </w:r>
      <w:proofErr w:type="spellEnd"/>
      <w:r w:rsidRPr="00871721">
        <w:t xml:space="preserve"> 2023, el cual considera todos los indicadores de la gestión de la compañía. </w:t>
      </w:r>
    </w:p>
    <w:p w:rsidR="00E627E7" w:rsidRPr="00871721" w:rsidRDefault="00E627E7" w:rsidP="00E627E7">
      <w:pPr>
        <w:jc w:val="both"/>
      </w:pPr>
    </w:p>
    <w:p w:rsidR="00E627E7" w:rsidRPr="00871721" w:rsidRDefault="00E627E7" w:rsidP="00E627E7">
      <w:pPr>
        <w:jc w:val="both"/>
      </w:pPr>
      <w:r w:rsidRPr="00871721">
        <w:t>Por ejemplo, durante todo el año, se laboraron más de un millón de horas entre personal propio y contratistas. En este espacio, no ocurrieron lesiones con tiempo perdido, y solo se presentaron 3 incidentes que requirieron un traslado temporal del puesto.</w:t>
      </w:r>
    </w:p>
    <w:p w:rsidR="00E627E7" w:rsidRPr="00871721" w:rsidRDefault="00E627E7" w:rsidP="00E627E7">
      <w:pPr>
        <w:jc w:val="both"/>
      </w:pPr>
    </w:p>
    <w:p w:rsidR="00E627E7" w:rsidRPr="00871721" w:rsidRDefault="00E627E7" w:rsidP="00E627E7">
      <w:pPr>
        <w:jc w:val="both"/>
      </w:pPr>
      <w:r w:rsidRPr="00871721">
        <w:t xml:space="preserve">Asimismo, el Consejo Nacional de Vialidad otorgó a </w:t>
      </w:r>
      <w:proofErr w:type="spellStart"/>
      <w:r w:rsidRPr="00871721">
        <w:t>Holcim</w:t>
      </w:r>
      <w:proofErr w:type="spellEnd"/>
      <w:r w:rsidRPr="00871721">
        <w:t xml:space="preserve"> Galardón Oro en Seguridad Vial. Dentro de los aspectos evaluados, reconoció nuestro sistema de monitoreo de conducción, el cual lleva las estadísticas de velocidad promedio de los vehículos, aceleración, frenado, fatiga y mejores prácticas como uso del cinturón de seguridad y no uso del celular. El 94% de nuestros viajes obtuvieron una calificación verde. </w:t>
      </w:r>
    </w:p>
    <w:p w:rsidR="00E627E7" w:rsidRPr="00871721" w:rsidRDefault="00E627E7" w:rsidP="00E627E7">
      <w:pPr>
        <w:jc w:val="both"/>
      </w:pPr>
    </w:p>
    <w:p w:rsidR="00E627E7" w:rsidRPr="00871721" w:rsidRDefault="00E627E7" w:rsidP="00E627E7">
      <w:pPr>
        <w:jc w:val="both"/>
      </w:pPr>
      <w:r w:rsidRPr="00871721">
        <w:t xml:space="preserve">La consolidación de nuestra cultura en constante consolidación, que es reconocida por el mercado y que nos distingue como empresa responsable con nuestro personal, para velar por la salud de las personas que integran a </w:t>
      </w:r>
      <w:proofErr w:type="spellStart"/>
      <w:r w:rsidRPr="00871721">
        <w:t>Holcim</w:t>
      </w:r>
      <w:proofErr w:type="spellEnd"/>
      <w:r w:rsidRPr="00871721">
        <w:t xml:space="preserve"> Costa Rica y por el entorno en el que se dan nuestras operaciones.</w:t>
      </w:r>
    </w:p>
    <w:p w:rsidR="00E627E7" w:rsidRPr="00871721" w:rsidRDefault="00E627E7" w:rsidP="00E627E7">
      <w:pPr>
        <w:jc w:val="both"/>
      </w:pPr>
    </w:p>
    <w:p w:rsidR="00E627E7" w:rsidRPr="00871721" w:rsidRDefault="00E627E7" w:rsidP="00E627E7">
      <w:pPr>
        <w:jc w:val="both"/>
        <w:rPr>
          <w:b/>
        </w:rPr>
      </w:pPr>
    </w:p>
    <w:p w:rsidR="00E627E7" w:rsidRPr="00871721" w:rsidRDefault="00E627E7" w:rsidP="00E627E7">
      <w:pPr>
        <w:jc w:val="both"/>
        <w:rPr>
          <w:b/>
        </w:rPr>
      </w:pPr>
      <w:proofErr w:type="spellStart"/>
      <w:r w:rsidRPr="00871721">
        <w:rPr>
          <w:b/>
        </w:rPr>
        <w:t>Holcim</w:t>
      </w:r>
      <w:proofErr w:type="spellEnd"/>
      <w:r w:rsidRPr="00871721">
        <w:rPr>
          <w:b/>
        </w:rPr>
        <w:t xml:space="preserve"> Nicaragua</w:t>
      </w:r>
    </w:p>
    <w:p w:rsidR="00E627E7" w:rsidRPr="00871721" w:rsidRDefault="00E627E7" w:rsidP="00E627E7">
      <w:pPr>
        <w:jc w:val="both"/>
        <w:rPr>
          <w:b/>
        </w:rPr>
      </w:pPr>
    </w:p>
    <w:p w:rsidR="00E627E7" w:rsidRPr="00871721" w:rsidRDefault="00E627E7" w:rsidP="00E627E7">
      <w:pPr>
        <w:jc w:val="both"/>
        <w:rPr>
          <w:b/>
        </w:rPr>
      </w:pPr>
      <w:r w:rsidRPr="00871721">
        <w:rPr>
          <w:b/>
        </w:rPr>
        <w:t>Contexto 2023 y perspectivas económicas 2024</w:t>
      </w:r>
    </w:p>
    <w:p w:rsidR="00E627E7" w:rsidRPr="00871721" w:rsidRDefault="00E627E7" w:rsidP="00E627E7">
      <w:pPr>
        <w:jc w:val="both"/>
        <w:rPr>
          <w:b/>
        </w:rPr>
      </w:pPr>
    </w:p>
    <w:p w:rsidR="00E627E7" w:rsidRPr="00871721" w:rsidRDefault="00E627E7" w:rsidP="00E627E7">
      <w:pPr>
        <w:pBdr>
          <w:top w:val="nil"/>
          <w:left w:val="nil"/>
          <w:bottom w:val="nil"/>
          <w:right w:val="nil"/>
          <w:between w:val="nil"/>
        </w:pBdr>
        <w:jc w:val="both"/>
      </w:pPr>
      <w:r w:rsidRPr="00871721">
        <w:t>Según la comunicación oficial del Banco Central de Nicaragua, el crecimiento económico del Producto Interno Bruto (PIB) del año 2023 se ubicó en un 4.75%, mientras la inflación alcanzó el 6.32% en correspondencia de la evolución de los precios externos.</w:t>
      </w:r>
    </w:p>
    <w:p w:rsidR="00E627E7" w:rsidRPr="00871721" w:rsidRDefault="00E627E7" w:rsidP="00E627E7">
      <w:pPr>
        <w:pBdr>
          <w:top w:val="nil"/>
          <w:left w:val="nil"/>
          <w:bottom w:val="nil"/>
          <w:right w:val="nil"/>
          <w:between w:val="nil"/>
        </w:pBdr>
        <w:jc w:val="both"/>
      </w:pPr>
    </w:p>
    <w:p w:rsidR="00E627E7" w:rsidRPr="00871721" w:rsidRDefault="00E627E7" w:rsidP="00E627E7">
      <w:pPr>
        <w:pBdr>
          <w:top w:val="nil"/>
          <w:left w:val="nil"/>
          <w:bottom w:val="nil"/>
          <w:right w:val="nil"/>
          <w:between w:val="nil"/>
        </w:pBdr>
        <w:jc w:val="both"/>
      </w:pPr>
      <w:r w:rsidRPr="00871721">
        <w:t xml:space="preserve">La proyección económica de crecimiento del 2024 estará en un rango de 3.5% y 4.5%. Además, se estima que la inflación del año 2024 se ubicará en un rango de un 5.0%, sustentado bajo la agencia internacional de calificación de riesgo crediticio </w:t>
      </w:r>
      <w:proofErr w:type="spellStart"/>
      <w:r w:rsidRPr="00871721">
        <w:t>Moodys</w:t>
      </w:r>
      <w:proofErr w:type="spellEnd"/>
      <w:r w:rsidRPr="00871721">
        <w:t xml:space="preserve"> donde elevó la calificación de Nicaragua de “B3” a “B2” con una perspectiva estable a la deuda soberana de largo plazo en moneda nacional y extranjera.</w:t>
      </w:r>
    </w:p>
    <w:p w:rsidR="00E627E7" w:rsidRPr="00871721" w:rsidRDefault="00E627E7" w:rsidP="00E627E7">
      <w:pPr>
        <w:pBdr>
          <w:top w:val="nil"/>
          <w:left w:val="nil"/>
          <w:bottom w:val="nil"/>
          <w:right w:val="nil"/>
          <w:between w:val="nil"/>
        </w:pBdr>
        <w:jc w:val="both"/>
      </w:pPr>
    </w:p>
    <w:p w:rsidR="00E627E7" w:rsidRPr="00871721" w:rsidRDefault="00E627E7" w:rsidP="00E627E7">
      <w:pPr>
        <w:pBdr>
          <w:top w:val="nil"/>
          <w:left w:val="nil"/>
          <w:bottom w:val="nil"/>
          <w:right w:val="nil"/>
          <w:between w:val="nil"/>
        </w:pBdr>
        <w:jc w:val="both"/>
      </w:pPr>
      <w:r w:rsidRPr="00871721">
        <w:t xml:space="preserve">Según </w:t>
      </w:r>
      <w:proofErr w:type="spellStart"/>
      <w:r w:rsidRPr="00871721">
        <w:t>Moody’s</w:t>
      </w:r>
      <w:proofErr w:type="spellEnd"/>
      <w:r w:rsidRPr="00871721">
        <w:t xml:space="preserve">, la revisión de la calificación de Nicaragua se ha fortalecido estructuralmente debido a la acumulación de importantes reservas fiscales y externas por encima de las expectativas previas de </w:t>
      </w:r>
      <w:proofErr w:type="spellStart"/>
      <w:r w:rsidRPr="00871721">
        <w:t>Moody’s</w:t>
      </w:r>
      <w:proofErr w:type="spellEnd"/>
      <w:r w:rsidRPr="00871721">
        <w:t xml:space="preserve">, como resultado de los esfuerzos concertados de las autoridades para mitigar los desafíos. La opinión de </w:t>
      </w:r>
      <w:proofErr w:type="spellStart"/>
      <w:r w:rsidRPr="00871721">
        <w:t>Moody’s</w:t>
      </w:r>
      <w:proofErr w:type="spellEnd"/>
      <w:r w:rsidRPr="00871721">
        <w:t xml:space="preserve"> es que la fuerte capacidad de ajuste del soberano continuará guiando la prudente política fiscal que ha llevado a la acumulación de los considerables colchones y el cambio estructural hacia unas finanzas externas y públicas más sólidas. “Estas mejoras contribuirán a mitigar los efectos de posibles futuras perturbaciones”, destacó el banco emisor nicaragüense.</w:t>
      </w:r>
    </w:p>
    <w:p w:rsidR="00E627E7" w:rsidRPr="00871721" w:rsidRDefault="00E627E7" w:rsidP="00E627E7">
      <w:pPr>
        <w:keepNext/>
        <w:jc w:val="center"/>
        <w:rPr>
          <w:b/>
          <w:sz w:val="28"/>
          <w:szCs w:val="28"/>
        </w:rPr>
      </w:pPr>
    </w:p>
    <w:p w:rsidR="00E627E7" w:rsidRPr="00871721" w:rsidRDefault="00E627E7" w:rsidP="00E627E7">
      <w:pPr>
        <w:keepNext/>
        <w:jc w:val="center"/>
        <w:rPr>
          <w:b/>
          <w:sz w:val="28"/>
          <w:szCs w:val="28"/>
        </w:rPr>
      </w:pPr>
    </w:p>
    <w:p w:rsidR="00E627E7" w:rsidRPr="00871721" w:rsidRDefault="00E627E7" w:rsidP="00E627E7">
      <w:pPr>
        <w:keepNext/>
        <w:jc w:val="center"/>
        <w:rPr>
          <w:b/>
          <w:sz w:val="28"/>
          <w:szCs w:val="28"/>
        </w:rPr>
      </w:pPr>
    </w:p>
    <w:p w:rsidR="00E627E7" w:rsidRPr="00871721" w:rsidRDefault="00E627E7" w:rsidP="00E627E7">
      <w:pPr>
        <w:keepNext/>
        <w:jc w:val="center"/>
        <w:rPr>
          <w:b/>
          <w:sz w:val="28"/>
          <w:szCs w:val="28"/>
        </w:rPr>
      </w:pPr>
    </w:p>
    <w:p w:rsidR="00E627E7" w:rsidRPr="00871721" w:rsidRDefault="00E627E7" w:rsidP="00E627E7">
      <w:pPr>
        <w:keepNext/>
        <w:jc w:val="center"/>
        <w:rPr>
          <w:b/>
          <w:sz w:val="28"/>
          <w:szCs w:val="28"/>
        </w:rPr>
      </w:pPr>
    </w:p>
    <w:p w:rsidR="00E627E7" w:rsidRPr="00871721" w:rsidRDefault="00E627E7" w:rsidP="00E627E7">
      <w:pPr>
        <w:keepNext/>
        <w:jc w:val="center"/>
        <w:rPr>
          <w:b/>
          <w:sz w:val="28"/>
          <w:szCs w:val="28"/>
        </w:rPr>
      </w:pPr>
    </w:p>
    <w:p w:rsidR="00E627E7" w:rsidRPr="00871721" w:rsidRDefault="00E627E7" w:rsidP="00E627E7">
      <w:pPr>
        <w:keepNext/>
        <w:jc w:val="center"/>
        <w:rPr>
          <w:b/>
          <w:sz w:val="28"/>
          <w:szCs w:val="28"/>
        </w:rPr>
      </w:pPr>
    </w:p>
    <w:p w:rsidR="00E627E7" w:rsidRPr="00871721" w:rsidRDefault="00E627E7" w:rsidP="00E627E7">
      <w:pPr>
        <w:jc w:val="both"/>
      </w:pPr>
    </w:p>
    <w:p w:rsidR="00E627E7" w:rsidRPr="00871721" w:rsidRDefault="00E627E7" w:rsidP="00E627E7">
      <w:pPr>
        <w:jc w:val="center"/>
        <w:rPr>
          <w:b/>
          <w:sz w:val="28"/>
          <w:szCs w:val="28"/>
        </w:rPr>
      </w:pPr>
    </w:p>
    <w:p w:rsidR="00E627E7" w:rsidRPr="00871721" w:rsidRDefault="00E627E7" w:rsidP="00E627E7">
      <w:pPr>
        <w:jc w:val="center"/>
        <w:rPr>
          <w:b/>
          <w:sz w:val="28"/>
          <w:szCs w:val="28"/>
        </w:rPr>
      </w:pPr>
    </w:p>
    <w:p w:rsidR="00E627E7" w:rsidRPr="00871721" w:rsidRDefault="00E627E7" w:rsidP="00E627E7">
      <w:pPr>
        <w:jc w:val="center"/>
        <w:rPr>
          <w:b/>
          <w:sz w:val="28"/>
          <w:szCs w:val="28"/>
        </w:rPr>
      </w:pPr>
    </w:p>
    <w:p w:rsidR="00E627E7" w:rsidRPr="00871721" w:rsidRDefault="00E627E7" w:rsidP="00E627E7">
      <w:pPr>
        <w:jc w:val="center"/>
        <w:rPr>
          <w:b/>
          <w:sz w:val="28"/>
          <w:szCs w:val="28"/>
        </w:rPr>
      </w:pPr>
    </w:p>
    <w:p w:rsidR="00E627E7" w:rsidRPr="00871721" w:rsidRDefault="00E627E7" w:rsidP="00E627E7">
      <w:pPr>
        <w:jc w:val="center"/>
        <w:rPr>
          <w:b/>
          <w:sz w:val="28"/>
          <w:szCs w:val="28"/>
        </w:rPr>
      </w:pPr>
    </w:p>
    <w:p w:rsidR="00E627E7" w:rsidRPr="00871721" w:rsidRDefault="00E627E7" w:rsidP="00E627E7">
      <w:pPr>
        <w:jc w:val="center"/>
        <w:rPr>
          <w:b/>
          <w:sz w:val="28"/>
          <w:szCs w:val="28"/>
        </w:rPr>
      </w:pPr>
      <w:r>
        <w:rPr>
          <w:b/>
          <w:sz w:val="28"/>
          <w:szCs w:val="28"/>
        </w:rPr>
        <w:t>CAPI</w:t>
      </w:r>
      <w:r w:rsidRPr="00871721">
        <w:rPr>
          <w:b/>
          <w:sz w:val="28"/>
          <w:szCs w:val="28"/>
        </w:rPr>
        <w:t>TULO V</w:t>
      </w:r>
    </w:p>
    <w:p w:rsidR="00E627E7" w:rsidRPr="00871721" w:rsidRDefault="00E627E7" w:rsidP="00E627E7">
      <w:pPr>
        <w:jc w:val="center"/>
        <w:rPr>
          <w:b/>
          <w:sz w:val="24"/>
          <w:szCs w:val="24"/>
        </w:rPr>
      </w:pPr>
    </w:p>
    <w:p w:rsidR="00E627E7" w:rsidRPr="00871721" w:rsidRDefault="00E627E7" w:rsidP="00E627E7">
      <w:pPr>
        <w:jc w:val="both"/>
        <w:rPr>
          <w:b/>
          <w:sz w:val="24"/>
          <w:szCs w:val="24"/>
        </w:rPr>
      </w:pPr>
      <w:r w:rsidRPr="00871721">
        <w:rPr>
          <w:b/>
          <w:sz w:val="24"/>
          <w:szCs w:val="24"/>
        </w:rPr>
        <w:t>DIRECTORES, PERSONAL GERENCIAL Y EMPLEADOS</w:t>
      </w:r>
    </w:p>
    <w:p w:rsidR="00E627E7" w:rsidRPr="00871721" w:rsidRDefault="00E627E7" w:rsidP="00E627E7">
      <w:pPr>
        <w:jc w:val="both"/>
      </w:pPr>
    </w:p>
    <w:p w:rsidR="00E627E7" w:rsidRPr="00871721" w:rsidRDefault="00E627E7" w:rsidP="00E627E7">
      <w:pPr>
        <w:rPr>
          <w:b/>
        </w:rPr>
      </w:pPr>
      <w:r w:rsidRPr="00871721">
        <w:rPr>
          <w:b/>
        </w:rPr>
        <w:t>Información de los Miembros de la Junta Directiva</w:t>
      </w:r>
    </w:p>
    <w:p w:rsidR="00E627E7" w:rsidRPr="00871721" w:rsidRDefault="00E627E7" w:rsidP="00E627E7">
      <w:pPr>
        <w:jc w:val="both"/>
      </w:pPr>
    </w:p>
    <w:tbl>
      <w:tblPr>
        <w:tblW w:w="9738" w:type="dxa"/>
        <w:tblBorders>
          <w:top w:val="single" w:sz="4" w:space="0" w:color="666666"/>
          <w:left w:val="single" w:sz="4" w:space="0" w:color="000000"/>
          <w:bottom w:val="single" w:sz="4" w:space="0" w:color="666666"/>
          <w:right w:val="single" w:sz="4" w:space="0" w:color="000000"/>
          <w:insideH w:val="single" w:sz="4" w:space="0" w:color="666666"/>
          <w:insideV w:val="single" w:sz="4" w:space="0" w:color="666666"/>
        </w:tblBorders>
        <w:tblLayout w:type="fixed"/>
        <w:tblLook w:val="0400" w:firstRow="0" w:lastRow="0" w:firstColumn="0" w:lastColumn="0" w:noHBand="0" w:noVBand="1"/>
      </w:tblPr>
      <w:tblGrid>
        <w:gridCol w:w="1129"/>
        <w:gridCol w:w="1300"/>
        <w:gridCol w:w="1535"/>
        <w:gridCol w:w="1418"/>
        <w:gridCol w:w="992"/>
        <w:gridCol w:w="3364"/>
      </w:tblGrid>
      <w:tr w:rsidR="00E627E7" w:rsidRPr="00871721" w:rsidTr="00E02D6F">
        <w:trPr>
          <w:trHeight w:val="208"/>
        </w:trPr>
        <w:tc>
          <w:tcPr>
            <w:tcW w:w="1129" w:type="dxa"/>
          </w:tcPr>
          <w:p w:rsidR="00E627E7" w:rsidRPr="00871721" w:rsidRDefault="00E627E7" w:rsidP="00E02D6F">
            <w:pPr>
              <w:jc w:val="center"/>
              <w:rPr>
                <w:b/>
                <w:sz w:val="20"/>
                <w:szCs w:val="20"/>
              </w:rPr>
            </w:pPr>
            <w:r w:rsidRPr="00871721">
              <w:rPr>
                <w:b/>
                <w:sz w:val="20"/>
                <w:szCs w:val="20"/>
              </w:rPr>
              <w:t>Nombre</w:t>
            </w:r>
          </w:p>
        </w:tc>
        <w:tc>
          <w:tcPr>
            <w:tcW w:w="1300" w:type="dxa"/>
          </w:tcPr>
          <w:p w:rsidR="00E627E7" w:rsidRPr="00871721" w:rsidRDefault="00E627E7" w:rsidP="00E02D6F">
            <w:pPr>
              <w:jc w:val="center"/>
              <w:rPr>
                <w:b/>
                <w:sz w:val="20"/>
                <w:szCs w:val="20"/>
              </w:rPr>
            </w:pPr>
            <w:r w:rsidRPr="00871721">
              <w:rPr>
                <w:b/>
                <w:sz w:val="20"/>
                <w:szCs w:val="20"/>
              </w:rPr>
              <w:t>Cargo</w:t>
            </w:r>
          </w:p>
        </w:tc>
        <w:tc>
          <w:tcPr>
            <w:tcW w:w="1535" w:type="dxa"/>
          </w:tcPr>
          <w:p w:rsidR="00E627E7" w:rsidRPr="00871721" w:rsidRDefault="00E627E7" w:rsidP="00E02D6F">
            <w:pPr>
              <w:jc w:val="center"/>
              <w:rPr>
                <w:b/>
                <w:sz w:val="20"/>
                <w:szCs w:val="20"/>
              </w:rPr>
            </w:pPr>
            <w:r w:rsidRPr="00871721">
              <w:rPr>
                <w:b/>
                <w:sz w:val="20"/>
                <w:szCs w:val="20"/>
              </w:rPr>
              <w:t>Nacionalidad</w:t>
            </w:r>
          </w:p>
        </w:tc>
        <w:tc>
          <w:tcPr>
            <w:tcW w:w="1418" w:type="dxa"/>
          </w:tcPr>
          <w:p w:rsidR="00E627E7" w:rsidRPr="00871721" w:rsidRDefault="00E627E7" w:rsidP="00E02D6F">
            <w:pPr>
              <w:jc w:val="center"/>
              <w:rPr>
                <w:b/>
                <w:sz w:val="20"/>
                <w:szCs w:val="20"/>
              </w:rPr>
            </w:pPr>
            <w:r w:rsidRPr="00871721">
              <w:rPr>
                <w:b/>
                <w:sz w:val="20"/>
                <w:szCs w:val="20"/>
              </w:rPr>
              <w:t>Año de Nacimiento</w:t>
            </w:r>
          </w:p>
        </w:tc>
        <w:tc>
          <w:tcPr>
            <w:tcW w:w="992" w:type="dxa"/>
          </w:tcPr>
          <w:p w:rsidR="00E627E7" w:rsidRPr="00871721" w:rsidRDefault="00E627E7" w:rsidP="00E02D6F">
            <w:pPr>
              <w:jc w:val="center"/>
              <w:rPr>
                <w:b/>
                <w:sz w:val="20"/>
                <w:szCs w:val="20"/>
              </w:rPr>
            </w:pPr>
            <w:r w:rsidRPr="00871721">
              <w:rPr>
                <w:b/>
                <w:sz w:val="20"/>
                <w:szCs w:val="20"/>
              </w:rPr>
              <w:t>Años en el puesto</w:t>
            </w:r>
          </w:p>
        </w:tc>
        <w:tc>
          <w:tcPr>
            <w:tcW w:w="3364" w:type="dxa"/>
          </w:tcPr>
          <w:p w:rsidR="00E627E7" w:rsidRPr="00871721" w:rsidRDefault="00E627E7" w:rsidP="00E02D6F">
            <w:pPr>
              <w:jc w:val="center"/>
              <w:rPr>
                <w:b/>
                <w:sz w:val="20"/>
                <w:szCs w:val="20"/>
              </w:rPr>
            </w:pPr>
            <w:r w:rsidRPr="00871721">
              <w:rPr>
                <w:b/>
                <w:sz w:val="20"/>
                <w:szCs w:val="20"/>
              </w:rPr>
              <w:t>Grado académico</w:t>
            </w:r>
          </w:p>
        </w:tc>
      </w:tr>
      <w:tr w:rsidR="00E627E7" w:rsidRPr="00871721" w:rsidTr="00E02D6F">
        <w:trPr>
          <w:trHeight w:val="469"/>
        </w:trPr>
        <w:tc>
          <w:tcPr>
            <w:tcW w:w="1129" w:type="dxa"/>
          </w:tcPr>
          <w:p w:rsidR="00E627E7" w:rsidRPr="00871721" w:rsidRDefault="00E627E7" w:rsidP="00E02D6F">
            <w:pPr>
              <w:rPr>
                <w:sz w:val="20"/>
                <w:szCs w:val="20"/>
              </w:rPr>
            </w:pPr>
            <w:r>
              <w:rPr>
                <w:sz w:val="20"/>
                <w:szCs w:val="20"/>
              </w:rPr>
              <w:t>Carlos Moreno</w:t>
            </w:r>
          </w:p>
        </w:tc>
        <w:tc>
          <w:tcPr>
            <w:tcW w:w="1300" w:type="dxa"/>
          </w:tcPr>
          <w:p w:rsidR="00E627E7" w:rsidRPr="00871721" w:rsidRDefault="00E627E7" w:rsidP="00E02D6F">
            <w:pPr>
              <w:jc w:val="both"/>
              <w:rPr>
                <w:sz w:val="20"/>
                <w:szCs w:val="20"/>
              </w:rPr>
            </w:pPr>
            <w:r w:rsidRPr="00871721">
              <w:rPr>
                <w:sz w:val="20"/>
                <w:szCs w:val="20"/>
              </w:rPr>
              <w:t>Presidente</w:t>
            </w:r>
          </w:p>
          <w:p w:rsidR="00E627E7" w:rsidRPr="00871721" w:rsidRDefault="00E627E7" w:rsidP="00E02D6F">
            <w:pPr>
              <w:rPr>
                <w:sz w:val="20"/>
                <w:szCs w:val="20"/>
              </w:rPr>
            </w:pPr>
          </w:p>
        </w:tc>
        <w:tc>
          <w:tcPr>
            <w:tcW w:w="1535" w:type="dxa"/>
          </w:tcPr>
          <w:p w:rsidR="00E627E7" w:rsidRPr="00871721" w:rsidRDefault="00E627E7" w:rsidP="00E02D6F">
            <w:pPr>
              <w:rPr>
                <w:sz w:val="20"/>
                <w:szCs w:val="20"/>
              </w:rPr>
            </w:pPr>
            <w:r>
              <w:rPr>
                <w:sz w:val="20"/>
                <w:szCs w:val="20"/>
              </w:rPr>
              <w:t>Venezolano</w:t>
            </w:r>
          </w:p>
        </w:tc>
        <w:tc>
          <w:tcPr>
            <w:tcW w:w="1418" w:type="dxa"/>
          </w:tcPr>
          <w:p w:rsidR="00E627E7" w:rsidRPr="00871721" w:rsidRDefault="00E627E7" w:rsidP="00E02D6F">
            <w:pPr>
              <w:jc w:val="center"/>
              <w:rPr>
                <w:sz w:val="20"/>
                <w:szCs w:val="20"/>
              </w:rPr>
            </w:pPr>
            <w:r>
              <w:rPr>
                <w:sz w:val="20"/>
                <w:szCs w:val="20"/>
              </w:rPr>
              <w:t>1974</w:t>
            </w:r>
          </w:p>
        </w:tc>
        <w:tc>
          <w:tcPr>
            <w:tcW w:w="992" w:type="dxa"/>
          </w:tcPr>
          <w:p w:rsidR="00E627E7" w:rsidRPr="00871721" w:rsidRDefault="00E627E7" w:rsidP="00E02D6F">
            <w:pPr>
              <w:jc w:val="center"/>
              <w:rPr>
                <w:sz w:val="20"/>
                <w:szCs w:val="20"/>
              </w:rPr>
            </w:pPr>
            <w:r>
              <w:rPr>
                <w:sz w:val="20"/>
                <w:szCs w:val="20"/>
              </w:rPr>
              <w:t>3 meses</w:t>
            </w:r>
          </w:p>
        </w:tc>
        <w:tc>
          <w:tcPr>
            <w:tcW w:w="3364" w:type="dxa"/>
          </w:tcPr>
          <w:p w:rsidR="00E627E7" w:rsidRPr="00871721" w:rsidRDefault="00E627E7" w:rsidP="00E02D6F">
            <w:pPr>
              <w:jc w:val="both"/>
              <w:rPr>
                <w:sz w:val="20"/>
                <w:szCs w:val="20"/>
              </w:rPr>
            </w:pPr>
            <w:r w:rsidRPr="00871721">
              <w:rPr>
                <w:sz w:val="20"/>
                <w:szCs w:val="20"/>
              </w:rPr>
              <w:t xml:space="preserve">Máster en </w:t>
            </w:r>
            <w:r>
              <w:rPr>
                <w:sz w:val="20"/>
                <w:szCs w:val="20"/>
              </w:rPr>
              <w:t>Administración Industrial</w:t>
            </w:r>
            <w:r w:rsidRPr="00871721">
              <w:rPr>
                <w:sz w:val="20"/>
                <w:szCs w:val="20"/>
              </w:rPr>
              <w:t xml:space="preserve">. </w:t>
            </w:r>
          </w:p>
        </w:tc>
      </w:tr>
      <w:tr w:rsidR="00E627E7" w:rsidRPr="0094391D" w:rsidTr="00E02D6F">
        <w:trPr>
          <w:trHeight w:val="456"/>
        </w:trPr>
        <w:tc>
          <w:tcPr>
            <w:tcW w:w="1129" w:type="dxa"/>
          </w:tcPr>
          <w:p w:rsidR="00E627E7" w:rsidRPr="00871721" w:rsidRDefault="00E627E7" w:rsidP="00E02D6F">
            <w:pPr>
              <w:rPr>
                <w:sz w:val="20"/>
                <w:szCs w:val="20"/>
              </w:rPr>
            </w:pPr>
            <w:r w:rsidRPr="00871721">
              <w:rPr>
                <w:sz w:val="20"/>
                <w:szCs w:val="20"/>
              </w:rPr>
              <w:t xml:space="preserve">Dolores Prado </w:t>
            </w:r>
            <w:proofErr w:type="spellStart"/>
            <w:r w:rsidRPr="00871721">
              <w:rPr>
                <w:sz w:val="20"/>
                <w:szCs w:val="20"/>
              </w:rPr>
              <w:t>Marenco</w:t>
            </w:r>
            <w:proofErr w:type="spellEnd"/>
          </w:p>
        </w:tc>
        <w:tc>
          <w:tcPr>
            <w:tcW w:w="1300" w:type="dxa"/>
          </w:tcPr>
          <w:p w:rsidR="00E627E7" w:rsidRPr="00871721" w:rsidRDefault="00E627E7" w:rsidP="00E02D6F">
            <w:pPr>
              <w:jc w:val="both"/>
              <w:rPr>
                <w:sz w:val="20"/>
                <w:szCs w:val="20"/>
              </w:rPr>
            </w:pPr>
            <w:r w:rsidRPr="00871721">
              <w:rPr>
                <w:sz w:val="20"/>
                <w:szCs w:val="20"/>
              </w:rPr>
              <w:t>Secretaria</w:t>
            </w:r>
          </w:p>
          <w:p w:rsidR="00E627E7" w:rsidRPr="00871721" w:rsidRDefault="00E627E7" w:rsidP="00E02D6F">
            <w:pPr>
              <w:rPr>
                <w:sz w:val="20"/>
                <w:szCs w:val="20"/>
              </w:rPr>
            </w:pPr>
          </w:p>
        </w:tc>
        <w:tc>
          <w:tcPr>
            <w:tcW w:w="1535" w:type="dxa"/>
          </w:tcPr>
          <w:p w:rsidR="00E627E7" w:rsidRPr="00871721" w:rsidRDefault="00E627E7" w:rsidP="00E02D6F">
            <w:pPr>
              <w:rPr>
                <w:sz w:val="20"/>
                <w:szCs w:val="20"/>
              </w:rPr>
            </w:pPr>
            <w:r w:rsidRPr="00871721">
              <w:rPr>
                <w:sz w:val="20"/>
                <w:szCs w:val="20"/>
              </w:rPr>
              <w:t>Nicaragüense</w:t>
            </w:r>
          </w:p>
        </w:tc>
        <w:tc>
          <w:tcPr>
            <w:tcW w:w="1418" w:type="dxa"/>
          </w:tcPr>
          <w:p w:rsidR="00E627E7" w:rsidRPr="00871721" w:rsidRDefault="00E627E7" w:rsidP="00E02D6F">
            <w:pPr>
              <w:jc w:val="center"/>
              <w:rPr>
                <w:sz w:val="20"/>
                <w:szCs w:val="20"/>
              </w:rPr>
            </w:pPr>
            <w:r w:rsidRPr="00871721">
              <w:rPr>
                <w:sz w:val="20"/>
                <w:szCs w:val="20"/>
              </w:rPr>
              <w:t>1960</w:t>
            </w:r>
          </w:p>
        </w:tc>
        <w:tc>
          <w:tcPr>
            <w:tcW w:w="992" w:type="dxa"/>
          </w:tcPr>
          <w:p w:rsidR="00E627E7" w:rsidRPr="00871721" w:rsidRDefault="00E627E7" w:rsidP="00E02D6F">
            <w:pPr>
              <w:jc w:val="center"/>
              <w:rPr>
                <w:sz w:val="20"/>
                <w:szCs w:val="20"/>
              </w:rPr>
            </w:pPr>
            <w:r w:rsidRPr="00871721">
              <w:rPr>
                <w:sz w:val="20"/>
                <w:szCs w:val="20"/>
              </w:rPr>
              <w:t>5</w:t>
            </w:r>
          </w:p>
        </w:tc>
        <w:tc>
          <w:tcPr>
            <w:tcW w:w="3364" w:type="dxa"/>
          </w:tcPr>
          <w:p w:rsidR="00E627E7" w:rsidRPr="003D0FFF" w:rsidRDefault="00E627E7" w:rsidP="00E02D6F">
            <w:pPr>
              <w:jc w:val="both"/>
              <w:rPr>
                <w:sz w:val="20"/>
                <w:szCs w:val="20"/>
                <w:lang w:val="en-US"/>
              </w:rPr>
            </w:pPr>
            <w:proofErr w:type="spellStart"/>
            <w:r w:rsidRPr="003D0FFF">
              <w:rPr>
                <w:sz w:val="20"/>
                <w:szCs w:val="20"/>
                <w:lang w:val="en-US"/>
              </w:rPr>
              <w:t>Administración</w:t>
            </w:r>
            <w:proofErr w:type="spellEnd"/>
            <w:r w:rsidRPr="003D0FFF">
              <w:rPr>
                <w:sz w:val="20"/>
                <w:szCs w:val="20"/>
                <w:lang w:val="en-US"/>
              </w:rPr>
              <w:t xml:space="preserve"> de </w:t>
            </w:r>
            <w:proofErr w:type="spellStart"/>
            <w:r w:rsidRPr="003D0FFF">
              <w:rPr>
                <w:sz w:val="20"/>
                <w:szCs w:val="20"/>
                <w:lang w:val="en-US"/>
              </w:rPr>
              <w:t>Empresas</w:t>
            </w:r>
            <w:proofErr w:type="spellEnd"/>
            <w:r w:rsidRPr="003D0FFF">
              <w:rPr>
                <w:sz w:val="20"/>
                <w:szCs w:val="20"/>
                <w:lang w:val="en-US"/>
              </w:rPr>
              <w:t xml:space="preserve"> Northwood College of Business Administration</w:t>
            </w:r>
          </w:p>
        </w:tc>
      </w:tr>
      <w:tr w:rsidR="00E627E7" w:rsidRPr="00871721" w:rsidTr="00E02D6F">
        <w:trPr>
          <w:trHeight w:val="497"/>
        </w:trPr>
        <w:tc>
          <w:tcPr>
            <w:tcW w:w="1129" w:type="dxa"/>
          </w:tcPr>
          <w:p w:rsidR="00E627E7" w:rsidRPr="00871721" w:rsidRDefault="00E627E7" w:rsidP="00E02D6F">
            <w:pPr>
              <w:rPr>
                <w:sz w:val="20"/>
                <w:szCs w:val="20"/>
              </w:rPr>
            </w:pPr>
            <w:r w:rsidRPr="00871721">
              <w:rPr>
                <w:sz w:val="20"/>
                <w:szCs w:val="20"/>
              </w:rPr>
              <w:t>Mauricio Jenkins Coronas</w:t>
            </w:r>
          </w:p>
        </w:tc>
        <w:tc>
          <w:tcPr>
            <w:tcW w:w="1300" w:type="dxa"/>
          </w:tcPr>
          <w:p w:rsidR="00E627E7" w:rsidRPr="00871721" w:rsidRDefault="00E627E7" w:rsidP="00E02D6F">
            <w:pPr>
              <w:rPr>
                <w:sz w:val="20"/>
                <w:szCs w:val="20"/>
              </w:rPr>
            </w:pPr>
            <w:r w:rsidRPr="00871721">
              <w:rPr>
                <w:sz w:val="20"/>
                <w:szCs w:val="20"/>
              </w:rPr>
              <w:t>Tesorero</w:t>
            </w:r>
          </w:p>
        </w:tc>
        <w:tc>
          <w:tcPr>
            <w:tcW w:w="1535" w:type="dxa"/>
          </w:tcPr>
          <w:p w:rsidR="00E627E7" w:rsidRPr="00871721" w:rsidRDefault="00E627E7" w:rsidP="00E02D6F">
            <w:pPr>
              <w:rPr>
                <w:sz w:val="20"/>
                <w:szCs w:val="20"/>
              </w:rPr>
            </w:pPr>
            <w:r w:rsidRPr="00871721">
              <w:rPr>
                <w:sz w:val="20"/>
                <w:szCs w:val="20"/>
              </w:rPr>
              <w:t>Costarricense</w:t>
            </w:r>
          </w:p>
        </w:tc>
        <w:tc>
          <w:tcPr>
            <w:tcW w:w="1418" w:type="dxa"/>
          </w:tcPr>
          <w:p w:rsidR="00E627E7" w:rsidRPr="00871721" w:rsidRDefault="00E627E7" w:rsidP="00E02D6F">
            <w:pPr>
              <w:jc w:val="center"/>
              <w:rPr>
                <w:sz w:val="20"/>
                <w:szCs w:val="20"/>
              </w:rPr>
            </w:pPr>
            <w:r w:rsidRPr="00871721">
              <w:rPr>
                <w:sz w:val="20"/>
                <w:szCs w:val="20"/>
              </w:rPr>
              <w:t>1964</w:t>
            </w:r>
          </w:p>
        </w:tc>
        <w:tc>
          <w:tcPr>
            <w:tcW w:w="992" w:type="dxa"/>
          </w:tcPr>
          <w:p w:rsidR="00E627E7" w:rsidRPr="00871721" w:rsidRDefault="00E627E7" w:rsidP="00E02D6F">
            <w:pPr>
              <w:jc w:val="center"/>
              <w:rPr>
                <w:sz w:val="20"/>
                <w:szCs w:val="20"/>
              </w:rPr>
            </w:pPr>
            <w:r w:rsidRPr="00871721">
              <w:rPr>
                <w:sz w:val="20"/>
                <w:szCs w:val="20"/>
              </w:rPr>
              <w:t>21 meses</w:t>
            </w:r>
          </w:p>
        </w:tc>
        <w:tc>
          <w:tcPr>
            <w:tcW w:w="3364" w:type="dxa"/>
          </w:tcPr>
          <w:p w:rsidR="00E627E7" w:rsidRPr="00871721" w:rsidRDefault="00E627E7" w:rsidP="00E02D6F">
            <w:pPr>
              <w:rPr>
                <w:color w:val="000000"/>
                <w:sz w:val="24"/>
                <w:szCs w:val="24"/>
              </w:rPr>
            </w:pPr>
            <w:r w:rsidRPr="00871721">
              <w:rPr>
                <w:sz w:val="20"/>
                <w:szCs w:val="20"/>
              </w:rPr>
              <w:t xml:space="preserve">PhD en Economía Internacional y Finanzas </w:t>
            </w:r>
            <w:proofErr w:type="gramStart"/>
            <w:r w:rsidRPr="00871721">
              <w:rPr>
                <w:sz w:val="20"/>
                <w:szCs w:val="20"/>
              </w:rPr>
              <w:t>y  Master</w:t>
            </w:r>
            <w:proofErr w:type="gramEnd"/>
            <w:r w:rsidRPr="00871721">
              <w:rPr>
                <w:sz w:val="20"/>
                <w:szCs w:val="20"/>
              </w:rPr>
              <w:t xml:space="preserve"> of </w:t>
            </w:r>
            <w:proofErr w:type="spellStart"/>
            <w:r w:rsidRPr="00871721">
              <w:rPr>
                <w:sz w:val="20"/>
                <w:szCs w:val="20"/>
              </w:rPr>
              <w:t>Science</w:t>
            </w:r>
            <w:proofErr w:type="spellEnd"/>
            <w:r w:rsidRPr="00871721">
              <w:rPr>
                <w:sz w:val="20"/>
                <w:szCs w:val="20"/>
              </w:rPr>
              <w:t xml:space="preserve"> en Economía Internacional y Finanzas. </w:t>
            </w:r>
            <w:proofErr w:type="spellStart"/>
            <w:r w:rsidRPr="00871721">
              <w:rPr>
                <w:sz w:val="20"/>
                <w:szCs w:val="20"/>
              </w:rPr>
              <w:t>Brandeis</w:t>
            </w:r>
            <w:proofErr w:type="spellEnd"/>
            <w:r w:rsidRPr="00871721">
              <w:rPr>
                <w:sz w:val="20"/>
                <w:szCs w:val="20"/>
              </w:rPr>
              <w:t xml:space="preserve"> </w:t>
            </w:r>
            <w:proofErr w:type="spellStart"/>
            <w:r w:rsidRPr="00871721">
              <w:rPr>
                <w:sz w:val="20"/>
                <w:szCs w:val="20"/>
              </w:rPr>
              <w:t>University</w:t>
            </w:r>
            <w:proofErr w:type="spellEnd"/>
            <w:r w:rsidRPr="00871721">
              <w:rPr>
                <w:sz w:val="20"/>
                <w:szCs w:val="20"/>
              </w:rPr>
              <w:t xml:space="preserve">. </w:t>
            </w:r>
            <w:proofErr w:type="spellStart"/>
            <w:r w:rsidRPr="00871721">
              <w:rPr>
                <w:sz w:val="20"/>
                <w:szCs w:val="20"/>
              </w:rPr>
              <w:t>Walthan</w:t>
            </w:r>
            <w:proofErr w:type="spellEnd"/>
            <w:r w:rsidRPr="00871721">
              <w:rPr>
                <w:sz w:val="20"/>
                <w:szCs w:val="20"/>
              </w:rPr>
              <w:t>, Massachusetts. Master en Administración de Empresas. INCAE</w:t>
            </w:r>
          </w:p>
        </w:tc>
      </w:tr>
      <w:tr w:rsidR="00E627E7" w:rsidRPr="00871721" w:rsidTr="00E02D6F">
        <w:trPr>
          <w:trHeight w:val="486"/>
        </w:trPr>
        <w:tc>
          <w:tcPr>
            <w:tcW w:w="1129" w:type="dxa"/>
          </w:tcPr>
          <w:p w:rsidR="00E627E7" w:rsidRPr="00871721" w:rsidRDefault="00E627E7" w:rsidP="00E02D6F">
            <w:pPr>
              <w:rPr>
                <w:sz w:val="20"/>
                <w:szCs w:val="20"/>
              </w:rPr>
            </w:pPr>
            <w:r w:rsidRPr="00871721">
              <w:rPr>
                <w:sz w:val="20"/>
                <w:szCs w:val="20"/>
              </w:rPr>
              <w:t>Melania Argueda</w:t>
            </w:r>
            <w:r>
              <w:rPr>
                <w:sz w:val="20"/>
                <w:szCs w:val="20"/>
              </w:rPr>
              <w:t>s</w:t>
            </w:r>
            <w:r w:rsidRPr="00871721">
              <w:rPr>
                <w:sz w:val="20"/>
                <w:szCs w:val="20"/>
              </w:rPr>
              <w:t xml:space="preserve"> Esquivel</w:t>
            </w:r>
          </w:p>
        </w:tc>
        <w:tc>
          <w:tcPr>
            <w:tcW w:w="1300" w:type="dxa"/>
          </w:tcPr>
          <w:p w:rsidR="00E627E7" w:rsidRPr="00871721" w:rsidRDefault="00E627E7" w:rsidP="00E02D6F">
            <w:pPr>
              <w:rPr>
                <w:sz w:val="20"/>
                <w:szCs w:val="20"/>
              </w:rPr>
            </w:pPr>
            <w:r w:rsidRPr="00871721">
              <w:rPr>
                <w:sz w:val="20"/>
                <w:szCs w:val="20"/>
              </w:rPr>
              <w:t xml:space="preserve">Fiscal </w:t>
            </w:r>
          </w:p>
        </w:tc>
        <w:tc>
          <w:tcPr>
            <w:tcW w:w="1535" w:type="dxa"/>
          </w:tcPr>
          <w:p w:rsidR="00E627E7" w:rsidRPr="00871721" w:rsidRDefault="00E627E7" w:rsidP="00E02D6F">
            <w:pPr>
              <w:rPr>
                <w:sz w:val="20"/>
                <w:szCs w:val="20"/>
              </w:rPr>
            </w:pPr>
            <w:r w:rsidRPr="00871721">
              <w:rPr>
                <w:sz w:val="20"/>
                <w:szCs w:val="20"/>
              </w:rPr>
              <w:t>Costarricense</w:t>
            </w:r>
          </w:p>
        </w:tc>
        <w:tc>
          <w:tcPr>
            <w:tcW w:w="1418" w:type="dxa"/>
          </w:tcPr>
          <w:p w:rsidR="00E627E7" w:rsidRPr="00871721" w:rsidRDefault="00E627E7" w:rsidP="00E02D6F">
            <w:pPr>
              <w:jc w:val="center"/>
              <w:rPr>
                <w:sz w:val="20"/>
                <w:szCs w:val="20"/>
              </w:rPr>
            </w:pPr>
            <w:r w:rsidRPr="00871721">
              <w:rPr>
                <w:sz w:val="20"/>
                <w:szCs w:val="20"/>
              </w:rPr>
              <w:t>1970</w:t>
            </w:r>
          </w:p>
        </w:tc>
        <w:tc>
          <w:tcPr>
            <w:tcW w:w="992" w:type="dxa"/>
          </w:tcPr>
          <w:p w:rsidR="00E627E7" w:rsidRPr="00871721" w:rsidRDefault="00E627E7" w:rsidP="00E02D6F">
            <w:pPr>
              <w:jc w:val="center"/>
              <w:rPr>
                <w:sz w:val="20"/>
                <w:szCs w:val="20"/>
              </w:rPr>
            </w:pPr>
            <w:r w:rsidRPr="00871721">
              <w:rPr>
                <w:sz w:val="20"/>
                <w:szCs w:val="20"/>
              </w:rPr>
              <w:t xml:space="preserve">5 meses </w:t>
            </w:r>
          </w:p>
        </w:tc>
        <w:tc>
          <w:tcPr>
            <w:tcW w:w="3364" w:type="dxa"/>
          </w:tcPr>
          <w:p w:rsidR="00E627E7" w:rsidRPr="00871721" w:rsidRDefault="00E627E7" w:rsidP="00E02D6F">
            <w:pPr>
              <w:jc w:val="both"/>
              <w:rPr>
                <w:sz w:val="20"/>
                <w:szCs w:val="20"/>
              </w:rPr>
            </w:pPr>
            <w:r w:rsidRPr="00871721">
              <w:rPr>
                <w:sz w:val="20"/>
                <w:szCs w:val="20"/>
              </w:rPr>
              <w:t>Licenciada en Derecho, egresada de la Universidad de Costa Rica. Posee más de 25 años de experiencia en derecho financiero, comercial y corporativo.</w:t>
            </w:r>
          </w:p>
        </w:tc>
      </w:tr>
    </w:tbl>
    <w:p w:rsidR="00E627E7" w:rsidRPr="00871721" w:rsidRDefault="00E627E7" w:rsidP="00E627E7">
      <w:pPr>
        <w:jc w:val="both"/>
      </w:pPr>
    </w:p>
    <w:p w:rsidR="00E627E7" w:rsidRPr="00871721" w:rsidRDefault="00E627E7" w:rsidP="00E627E7">
      <w:pPr>
        <w:jc w:val="both"/>
      </w:pPr>
    </w:p>
    <w:p w:rsidR="00E627E7" w:rsidRPr="00871721" w:rsidRDefault="00E627E7" w:rsidP="00E627E7">
      <w:pPr>
        <w:jc w:val="both"/>
      </w:pPr>
    </w:p>
    <w:p w:rsidR="00E627E7" w:rsidRPr="00871721" w:rsidRDefault="00E627E7" w:rsidP="00E627E7">
      <w:pPr>
        <w:jc w:val="both"/>
      </w:pPr>
      <w:r w:rsidRPr="00871721">
        <w:t xml:space="preserve">De acuerdo con los Estatutos de la compañía en su cláusula Décima Novena, los miembros de la Junta Directiva permanecerán en sus puestos por un período de 2 años y pueden ser reelectos. </w:t>
      </w:r>
    </w:p>
    <w:p w:rsidR="00E627E7" w:rsidRPr="00871721" w:rsidRDefault="00E627E7" w:rsidP="00E627E7">
      <w:pPr>
        <w:jc w:val="both"/>
      </w:pPr>
    </w:p>
    <w:p w:rsidR="00E627E7" w:rsidRPr="00871721" w:rsidRDefault="00E627E7" w:rsidP="00E627E7">
      <w:pPr>
        <w:jc w:val="both"/>
      </w:pPr>
      <w:r w:rsidRPr="00871721">
        <w:t xml:space="preserve">La Junta Directiva fue electa en la Asamblea General de Accionistas del 21 de marzo del año 2023, por un plazo de 2 años, con vencimiento al 29 de Julio del 2025. </w:t>
      </w:r>
      <w:r>
        <w:t xml:space="preserve"> El actual presidente de la Junta Directiva, fue electo en la Asamblea General de Accionistas del 27 de marzo de 2024.</w:t>
      </w:r>
    </w:p>
    <w:p w:rsidR="00E627E7" w:rsidRPr="00871721" w:rsidRDefault="00E627E7" w:rsidP="00E627E7">
      <w:pPr>
        <w:jc w:val="both"/>
      </w:pPr>
    </w:p>
    <w:p w:rsidR="00E627E7" w:rsidRDefault="00E627E7" w:rsidP="00E627E7">
      <w:pPr>
        <w:jc w:val="both"/>
        <w:rPr>
          <w:b/>
        </w:rPr>
      </w:pPr>
    </w:p>
    <w:p w:rsidR="00E627E7" w:rsidRDefault="00E627E7" w:rsidP="00E627E7">
      <w:pPr>
        <w:jc w:val="both"/>
        <w:rPr>
          <w:b/>
        </w:rPr>
      </w:pPr>
    </w:p>
    <w:p w:rsidR="00E627E7" w:rsidRDefault="00E627E7" w:rsidP="00E627E7">
      <w:pPr>
        <w:jc w:val="both"/>
        <w:rPr>
          <w:b/>
        </w:rPr>
      </w:pPr>
    </w:p>
    <w:p w:rsidR="00E627E7" w:rsidRDefault="00E627E7" w:rsidP="00E627E7">
      <w:pPr>
        <w:jc w:val="both"/>
        <w:rPr>
          <w:b/>
        </w:rPr>
      </w:pPr>
    </w:p>
    <w:p w:rsidR="00E627E7" w:rsidRDefault="00E627E7" w:rsidP="00E627E7">
      <w:pPr>
        <w:jc w:val="both"/>
        <w:rPr>
          <w:b/>
        </w:rPr>
      </w:pPr>
    </w:p>
    <w:p w:rsidR="00E627E7" w:rsidRDefault="00E627E7" w:rsidP="00E627E7">
      <w:pPr>
        <w:jc w:val="both"/>
        <w:rPr>
          <w:b/>
        </w:rPr>
      </w:pPr>
    </w:p>
    <w:p w:rsidR="00E627E7" w:rsidRDefault="00E627E7" w:rsidP="00E627E7">
      <w:pPr>
        <w:jc w:val="both"/>
        <w:rPr>
          <w:b/>
        </w:rPr>
      </w:pPr>
    </w:p>
    <w:p w:rsidR="00E627E7" w:rsidRDefault="00E627E7" w:rsidP="00E627E7">
      <w:pPr>
        <w:jc w:val="both"/>
        <w:rPr>
          <w:b/>
        </w:rPr>
      </w:pPr>
    </w:p>
    <w:p w:rsidR="00E627E7" w:rsidRDefault="00E627E7" w:rsidP="00E627E7">
      <w:pPr>
        <w:jc w:val="both"/>
        <w:rPr>
          <w:b/>
        </w:rPr>
      </w:pPr>
    </w:p>
    <w:p w:rsidR="00E627E7" w:rsidRDefault="00E627E7" w:rsidP="00E627E7">
      <w:pPr>
        <w:jc w:val="both"/>
        <w:rPr>
          <w:b/>
        </w:rPr>
      </w:pPr>
    </w:p>
    <w:p w:rsidR="00E627E7" w:rsidRPr="00871721" w:rsidRDefault="00E627E7" w:rsidP="00E627E7">
      <w:pPr>
        <w:jc w:val="both"/>
        <w:rPr>
          <w:b/>
        </w:rPr>
      </w:pPr>
      <w:r w:rsidRPr="00871721">
        <w:rPr>
          <w:b/>
        </w:rPr>
        <w:t xml:space="preserve">Mauricio Jenkins Coronas ** No ostenta poder de representación en </w:t>
      </w:r>
      <w:proofErr w:type="spellStart"/>
      <w:r w:rsidRPr="00871721">
        <w:rPr>
          <w:b/>
        </w:rPr>
        <w:t>Holcim</w:t>
      </w:r>
      <w:proofErr w:type="spellEnd"/>
      <w:r w:rsidRPr="00871721">
        <w:rPr>
          <w:b/>
        </w:rPr>
        <w:t xml:space="preserve"> Costa Rica</w:t>
      </w:r>
    </w:p>
    <w:p w:rsidR="00E627E7" w:rsidRPr="00871721" w:rsidRDefault="00E627E7" w:rsidP="00E627E7">
      <w:pPr>
        <w:jc w:val="both"/>
        <w:rPr>
          <w:b/>
        </w:rPr>
      </w:pPr>
    </w:p>
    <w:tbl>
      <w:tblPr>
        <w:tblW w:w="7087" w:type="dxa"/>
        <w:tblLayout w:type="fixed"/>
        <w:tblLook w:val="0400" w:firstRow="0" w:lastRow="0" w:firstColumn="0" w:lastColumn="0" w:noHBand="0" w:noVBand="1"/>
      </w:tblPr>
      <w:tblGrid>
        <w:gridCol w:w="5207"/>
        <w:gridCol w:w="1880"/>
      </w:tblGrid>
      <w:tr w:rsidR="00E627E7" w:rsidRPr="00871721" w:rsidTr="00E02D6F">
        <w:trPr>
          <w:trHeight w:val="300"/>
        </w:trPr>
        <w:tc>
          <w:tcPr>
            <w:tcW w:w="52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27E7" w:rsidRPr="00871721" w:rsidRDefault="00E627E7" w:rsidP="00E02D6F">
            <w:pPr>
              <w:jc w:val="center"/>
              <w:rPr>
                <w:b/>
                <w:color w:val="000000"/>
              </w:rPr>
            </w:pPr>
            <w:r w:rsidRPr="00871721">
              <w:rPr>
                <w:b/>
                <w:color w:val="000000"/>
              </w:rPr>
              <w:t>Sociedad</w:t>
            </w:r>
          </w:p>
        </w:tc>
        <w:tc>
          <w:tcPr>
            <w:tcW w:w="1880" w:type="dxa"/>
            <w:tcBorders>
              <w:top w:val="single" w:sz="4" w:space="0" w:color="000000"/>
              <w:left w:val="nil"/>
              <w:bottom w:val="single" w:sz="4" w:space="0" w:color="000000"/>
              <w:right w:val="single" w:sz="4" w:space="0" w:color="000000"/>
            </w:tcBorders>
            <w:shd w:val="clear" w:color="auto" w:fill="auto"/>
            <w:vAlign w:val="bottom"/>
          </w:tcPr>
          <w:p w:rsidR="00E627E7" w:rsidRPr="00871721" w:rsidRDefault="00E627E7" w:rsidP="00E02D6F">
            <w:pPr>
              <w:jc w:val="center"/>
              <w:rPr>
                <w:b/>
                <w:color w:val="000000"/>
              </w:rPr>
            </w:pPr>
            <w:r w:rsidRPr="00871721">
              <w:rPr>
                <w:b/>
                <w:color w:val="000000"/>
              </w:rPr>
              <w:t>Cargo</w:t>
            </w:r>
          </w:p>
        </w:tc>
      </w:tr>
      <w:tr w:rsidR="00E627E7" w:rsidRPr="00871721" w:rsidTr="00E02D6F">
        <w:trPr>
          <w:trHeight w:val="300"/>
        </w:trPr>
        <w:tc>
          <w:tcPr>
            <w:tcW w:w="5207" w:type="dxa"/>
            <w:tcBorders>
              <w:top w:val="nil"/>
              <w:left w:val="single" w:sz="4" w:space="0" w:color="000000"/>
              <w:bottom w:val="single" w:sz="4" w:space="0" w:color="000000"/>
              <w:right w:val="single" w:sz="4" w:space="0" w:color="000000"/>
            </w:tcBorders>
            <w:shd w:val="clear" w:color="auto" w:fill="FFFFFF"/>
            <w:vAlign w:val="bottom"/>
          </w:tcPr>
          <w:p w:rsidR="00E627E7" w:rsidRPr="00871721" w:rsidRDefault="00E627E7" w:rsidP="00E02D6F">
            <w:pPr>
              <w:rPr>
                <w:color w:val="333333"/>
                <w:sz w:val="17"/>
                <w:szCs w:val="17"/>
              </w:rPr>
            </w:pPr>
            <w:r w:rsidRPr="00871721">
              <w:rPr>
                <w:color w:val="333333"/>
                <w:sz w:val="17"/>
                <w:szCs w:val="17"/>
              </w:rPr>
              <w:t>JENKINS CONSULTING SOCIEDAD ANONIMA</w:t>
            </w:r>
          </w:p>
        </w:tc>
        <w:tc>
          <w:tcPr>
            <w:tcW w:w="1880" w:type="dxa"/>
            <w:tcBorders>
              <w:top w:val="nil"/>
              <w:left w:val="nil"/>
              <w:bottom w:val="single" w:sz="4" w:space="0" w:color="000000"/>
              <w:right w:val="single" w:sz="4" w:space="0" w:color="000000"/>
            </w:tcBorders>
            <w:shd w:val="clear" w:color="auto" w:fill="FFFFFF"/>
            <w:vAlign w:val="bottom"/>
          </w:tcPr>
          <w:p w:rsidR="00E627E7" w:rsidRPr="00871721" w:rsidRDefault="00E627E7" w:rsidP="00E02D6F">
            <w:pPr>
              <w:rPr>
                <w:color w:val="333333"/>
                <w:sz w:val="17"/>
                <w:szCs w:val="17"/>
              </w:rPr>
            </w:pPr>
            <w:r w:rsidRPr="00871721">
              <w:rPr>
                <w:color w:val="333333"/>
                <w:sz w:val="17"/>
                <w:szCs w:val="17"/>
              </w:rPr>
              <w:t>PRESIDENTE</w:t>
            </w:r>
          </w:p>
        </w:tc>
      </w:tr>
      <w:tr w:rsidR="00E627E7" w:rsidRPr="00871721" w:rsidTr="00E02D6F">
        <w:trPr>
          <w:trHeight w:val="300"/>
        </w:trPr>
        <w:tc>
          <w:tcPr>
            <w:tcW w:w="5207" w:type="dxa"/>
            <w:tcBorders>
              <w:top w:val="nil"/>
              <w:left w:val="single" w:sz="4" w:space="0" w:color="000000"/>
              <w:bottom w:val="single" w:sz="4" w:space="0" w:color="000000"/>
              <w:right w:val="single" w:sz="4" w:space="0" w:color="000000"/>
            </w:tcBorders>
            <w:shd w:val="clear" w:color="auto" w:fill="FFFFFF"/>
            <w:vAlign w:val="bottom"/>
          </w:tcPr>
          <w:p w:rsidR="00E627E7" w:rsidRPr="00871721" w:rsidRDefault="00E627E7" w:rsidP="00E02D6F">
            <w:pPr>
              <w:rPr>
                <w:color w:val="333333"/>
                <w:sz w:val="17"/>
                <w:szCs w:val="17"/>
              </w:rPr>
            </w:pPr>
            <w:r w:rsidRPr="00871721">
              <w:rPr>
                <w:color w:val="333333"/>
                <w:sz w:val="17"/>
                <w:szCs w:val="17"/>
              </w:rPr>
              <w:t>3-101-253000 SOCIEDAD ANONIMA</w:t>
            </w:r>
          </w:p>
        </w:tc>
        <w:tc>
          <w:tcPr>
            <w:tcW w:w="1880" w:type="dxa"/>
            <w:tcBorders>
              <w:top w:val="nil"/>
              <w:left w:val="nil"/>
              <w:bottom w:val="single" w:sz="4" w:space="0" w:color="000000"/>
              <w:right w:val="single" w:sz="4" w:space="0" w:color="000000"/>
            </w:tcBorders>
            <w:shd w:val="clear" w:color="auto" w:fill="FFFFFF"/>
            <w:vAlign w:val="bottom"/>
          </w:tcPr>
          <w:p w:rsidR="00E627E7" w:rsidRPr="00871721" w:rsidRDefault="00E627E7" w:rsidP="00E02D6F">
            <w:pPr>
              <w:rPr>
                <w:color w:val="333333"/>
                <w:sz w:val="17"/>
                <w:szCs w:val="17"/>
              </w:rPr>
            </w:pPr>
            <w:r w:rsidRPr="00871721">
              <w:rPr>
                <w:color w:val="333333"/>
                <w:sz w:val="17"/>
                <w:szCs w:val="17"/>
              </w:rPr>
              <w:t>FISCAL</w:t>
            </w:r>
          </w:p>
        </w:tc>
      </w:tr>
      <w:tr w:rsidR="00E627E7" w:rsidRPr="00871721" w:rsidTr="00E02D6F">
        <w:trPr>
          <w:trHeight w:val="300"/>
        </w:trPr>
        <w:tc>
          <w:tcPr>
            <w:tcW w:w="5207" w:type="dxa"/>
            <w:tcBorders>
              <w:top w:val="nil"/>
              <w:left w:val="single" w:sz="4" w:space="0" w:color="000000"/>
              <w:bottom w:val="single" w:sz="4" w:space="0" w:color="000000"/>
              <w:right w:val="single" w:sz="4" w:space="0" w:color="000000"/>
            </w:tcBorders>
            <w:shd w:val="clear" w:color="auto" w:fill="FFFFFF"/>
            <w:vAlign w:val="bottom"/>
          </w:tcPr>
          <w:p w:rsidR="00E627E7" w:rsidRPr="00871721" w:rsidRDefault="00E627E7" w:rsidP="00E02D6F">
            <w:pPr>
              <w:rPr>
                <w:color w:val="333333"/>
                <w:sz w:val="17"/>
                <w:szCs w:val="17"/>
              </w:rPr>
            </w:pPr>
            <w:r w:rsidRPr="00871721">
              <w:rPr>
                <w:color w:val="333333"/>
                <w:sz w:val="17"/>
                <w:szCs w:val="17"/>
              </w:rPr>
              <w:t>PROPIEDADES ANGELA DE SAN JOSE SOCIEDAD ANONIMA</w:t>
            </w:r>
          </w:p>
        </w:tc>
        <w:tc>
          <w:tcPr>
            <w:tcW w:w="1880" w:type="dxa"/>
            <w:tcBorders>
              <w:top w:val="nil"/>
              <w:left w:val="nil"/>
              <w:bottom w:val="single" w:sz="4" w:space="0" w:color="000000"/>
              <w:right w:val="single" w:sz="4" w:space="0" w:color="000000"/>
            </w:tcBorders>
            <w:shd w:val="clear" w:color="auto" w:fill="FFFFFF"/>
            <w:vAlign w:val="bottom"/>
          </w:tcPr>
          <w:p w:rsidR="00E627E7" w:rsidRPr="00871721" w:rsidRDefault="00E627E7" w:rsidP="00E02D6F">
            <w:pPr>
              <w:rPr>
                <w:color w:val="333333"/>
                <w:sz w:val="17"/>
                <w:szCs w:val="17"/>
              </w:rPr>
            </w:pPr>
            <w:r w:rsidRPr="00871721">
              <w:rPr>
                <w:color w:val="333333"/>
                <w:sz w:val="17"/>
                <w:szCs w:val="17"/>
              </w:rPr>
              <w:t>FISCAL</w:t>
            </w:r>
          </w:p>
        </w:tc>
      </w:tr>
      <w:tr w:rsidR="00E627E7" w:rsidRPr="00871721" w:rsidTr="00E02D6F">
        <w:trPr>
          <w:trHeight w:val="450"/>
        </w:trPr>
        <w:tc>
          <w:tcPr>
            <w:tcW w:w="5207" w:type="dxa"/>
            <w:tcBorders>
              <w:top w:val="nil"/>
              <w:left w:val="single" w:sz="4" w:space="0" w:color="000000"/>
              <w:bottom w:val="single" w:sz="4" w:space="0" w:color="000000"/>
              <w:right w:val="single" w:sz="4" w:space="0" w:color="000000"/>
            </w:tcBorders>
            <w:shd w:val="clear" w:color="auto" w:fill="FFFFFF"/>
            <w:vAlign w:val="bottom"/>
          </w:tcPr>
          <w:p w:rsidR="00E627E7" w:rsidRPr="00871721" w:rsidRDefault="00E627E7" w:rsidP="00E02D6F">
            <w:pPr>
              <w:rPr>
                <w:color w:val="333333"/>
                <w:sz w:val="17"/>
                <w:szCs w:val="17"/>
              </w:rPr>
            </w:pPr>
            <w:r w:rsidRPr="00871721">
              <w:rPr>
                <w:color w:val="333333"/>
                <w:sz w:val="17"/>
                <w:szCs w:val="17"/>
              </w:rPr>
              <w:t>PROPIEDADES E INVERSIONES COSMOS SOCIEDAD ANONIMA</w:t>
            </w:r>
          </w:p>
        </w:tc>
        <w:tc>
          <w:tcPr>
            <w:tcW w:w="1880" w:type="dxa"/>
            <w:tcBorders>
              <w:top w:val="nil"/>
              <w:left w:val="nil"/>
              <w:bottom w:val="single" w:sz="4" w:space="0" w:color="000000"/>
              <w:right w:val="single" w:sz="4" w:space="0" w:color="000000"/>
            </w:tcBorders>
            <w:shd w:val="clear" w:color="auto" w:fill="FFFFFF"/>
            <w:vAlign w:val="bottom"/>
          </w:tcPr>
          <w:p w:rsidR="00E627E7" w:rsidRPr="00871721" w:rsidRDefault="00E627E7" w:rsidP="00E02D6F">
            <w:pPr>
              <w:rPr>
                <w:color w:val="333333"/>
                <w:sz w:val="17"/>
                <w:szCs w:val="17"/>
              </w:rPr>
            </w:pPr>
            <w:r w:rsidRPr="00871721">
              <w:rPr>
                <w:color w:val="333333"/>
                <w:sz w:val="17"/>
                <w:szCs w:val="17"/>
              </w:rPr>
              <w:t>VICEPRESIDENTE</w:t>
            </w:r>
          </w:p>
        </w:tc>
      </w:tr>
      <w:tr w:rsidR="00E627E7" w:rsidRPr="00871721" w:rsidTr="00E02D6F">
        <w:trPr>
          <w:trHeight w:val="300"/>
        </w:trPr>
        <w:tc>
          <w:tcPr>
            <w:tcW w:w="5207" w:type="dxa"/>
            <w:tcBorders>
              <w:top w:val="nil"/>
              <w:left w:val="single" w:sz="4" w:space="0" w:color="000000"/>
              <w:bottom w:val="single" w:sz="4" w:space="0" w:color="000000"/>
              <w:right w:val="single" w:sz="4" w:space="0" w:color="000000"/>
            </w:tcBorders>
            <w:shd w:val="clear" w:color="auto" w:fill="FFFFFF"/>
            <w:vAlign w:val="bottom"/>
          </w:tcPr>
          <w:p w:rsidR="00E627E7" w:rsidRPr="00871721" w:rsidRDefault="00E627E7" w:rsidP="00E02D6F">
            <w:pPr>
              <w:rPr>
                <w:color w:val="333333"/>
                <w:sz w:val="17"/>
                <w:szCs w:val="17"/>
              </w:rPr>
            </w:pPr>
            <w:r w:rsidRPr="00871721">
              <w:rPr>
                <w:color w:val="333333"/>
                <w:sz w:val="17"/>
                <w:szCs w:val="17"/>
              </w:rPr>
              <w:t>ESPUMA DE PLATA SOCIEDAD ANONIMA</w:t>
            </w:r>
          </w:p>
        </w:tc>
        <w:tc>
          <w:tcPr>
            <w:tcW w:w="1880" w:type="dxa"/>
            <w:tcBorders>
              <w:top w:val="nil"/>
              <w:left w:val="nil"/>
              <w:bottom w:val="single" w:sz="4" w:space="0" w:color="000000"/>
              <w:right w:val="single" w:sz="4" w:space="0" w:color="000000"/>
            </w:tcBorders>
            <w:shd w:val="clear" w:color="auto" w:fill="FFFFFF"/>
            <w:vAlign w:val="bottom"/>
          </w:tcPr>
          <w:p w:rsidR="00E627E7" w:rsidRPr="00871721" w:rsidRDefault="00E627E7" w:rsidP="00E02D6F">
            <w:pPr>
              <w:rPr>
                <w:color w:val="333333"/>
                <w:sz w:val="17"/>
                <w:szCs w:val="17"/>
              </w:rPr>
            </w:pPr>
            <w:r w:rsidRPr="00871721">
              <w:rPr>
                <w:color w:val="333333"/>
                <w:sz w:val="17"/>
                <w:szCs w:val="17"/>
              </w:rPr>
              <w:t>PRESIDENTE</w:t>
            </w:r>
          </w:p>
        </w:tc>
      </w:tr>
      <w:tr w:rsidR="00E627E7" w:rsidRPr="00871721" w:rsidTr="00E02D6F">
        <w:trPr>
          <w:trHeight w:val="300"/>
        </w:trPr>
        <w:tc>
          <w:tcPr>
            <w:tcW w:w="5207" w:type="dxa"/>
            <w:tcBorders>
              <w:top w:val="nil"/>
              <w:left w:val="single" w:sz="4" w:space="0" w:color="000000"/>
              <w:bottom w:val="single" w:sz="4" w:space="0" w:color="000000"/>
              <w:right w:val="single" w:sz="4" w:space="0" w:color="000000"/>
            </w:tcBorders>
            <w:shd w:val="clear" w:color="auto" w:fill="FFFFFF"/>
            <w:vAlign w:val="bottom"/>
          </w:tcPr>
          <w:p w:rsidR="00E627E7" w:rsidRPr="00871721" w:rsidRDefault="00E627E7" w:rsidP="00E02D6F">
            <w:pPr>
              <w:rPr>
                <w:color w:val="333333"/>
                <w:sz w:val="17"/>
                <w:szCs w:val="17"/>
              </w:rPr>
            </w:pPr>
            <w:r w:rsidRPr="00871721">
              <w:rPr>
                <w:color w:val="333333"/>
                <w:sz w:val="17"/>
                <w:szCs w:val="17"/>
              </w:rPr>
              <w:t>MAGA CARPE DIEM SOCIEDAD ANONIMA</w:t>
            </w:r>
          </w:p>
        </w:tc>
        <w:tc>
          <w:tcPr>
            <w:tcW w:w="1880" w:type="dxa"/>
            <w:tcBorders>
              <w:top w:val="nil"/>
              <w:left w:val="nil"/>
              <w:bottom w:val="single" w:sz="4" w:space="0" w:color="000000"/>
              <w:right w:val="single" w:sz="4" w:space="0" w:color="000000"/>
            </w:tcBorders>
            <w:shd w:val="clear" w:color="auto" w:fill="FFFFFF"/>
            <w:vAlign w:val="bottom"/>
          </w:tcPr>
          <w:p w:rsidR="00E627E7" w:rsidRPr="00871721" w:rsidRDefault="00E627E7" w:rsidP="00E02D6F">
            <w:pPr>
              <w:rPr>
                <w:color w:val="333333"/>
                <w:sz w:val="17"/>
                <w:szCs w:val="17"/>
              </w:rPr>
            </w:pPr>
            <w:r w:rsidRPr="00871721">
              <w:rPr>
                <w:color w:val="333333"/>
                <w:sz w:val="17"/>
                <w:szCs w:val="17"/>
              </w:rPr>
              <w:t>SECRETARIO</w:t>
            </w:r>
          </w:p>
        </w:tc>
      </w:tr>
      <w:tr w:rsidR="00E627E7" w:rsidRPr="00871721" w:rsidTr="00E02D6F">
        <w:trPr>
          <w:trHeight w:val="300"/>
        </w:trPr>
        <w:tc>
          <w:tcPr>
            <w:tcW w:w="5207" w:type="dxa"/>
            <w:tcBorders>
              <w:top w:val="nil"/>
              <w:left w:val="single" w:sz="4" w:space="0" w:color="000000"/>
              <w:bottom w:val="single" w:sz="4" w:space="0" w:color="000000"/>
              <w:right w:val="single" w:sz="4" w:space="0" w:color="000000"/>
            </w:tcBorders>
            <w:shd w:val="clear" w:color="auto" w:fill="FFFFFF"/>
            <w:vAlign w:val="bottom"/>
          </w:tcPr>
          <w:p w:rsidR="00E627E7" w:rsidRPr="003D0FFF" w:rsidRDefault="00E627E7" w:rsidP="00E02D6F">
            <w:pPr>
              <w:rPr>
                <w:color w:val="333333"/>
                <w:sz w:val="17"/>
                <w:szCs w:val="17"/>
                <w:lang w:val="en-US"/>
              </w:rPr>
            </w:pPr>
            <w:r w:rsidRPr="003D0FFF">
              <w:rPr>
                <w:color w:val="333333"/>
                <w:sz w:val="17"/>
                <w:szCs w:val="17"/>
                <w:lang w:val="en-US"/>
              </w:rPr>
              <w:t>MAK ASSET MANAGEMENT SOCIEDAD ANONIMA</w:t>
            </w:r>
          </w:p>
        </w:tc>
        <w:tc>
          <w:tcPr>
            <w:tcW w:w="1880" w:type="dxa"/>
            <w:tcBorders>
              <w:top w:val="nil"/>
              <w:left w:val="nil"/>
              <w:bottom w:val="single" w:sz="4" w:space="0" w:color="000000"/>
              <w:right w:val="single" w:sz="4" w:space="0" w:color="000000"/>
            </w:tcBorders>
            <w:shd w:val="clear" w:color="auto" w:fill="FFFFFF"/>
            <w:vAlign w:val="bottom"/>
          </w:tcPr>
          <w:p w:rsidR="00E627E7" w:rsidRPr="00871721" w:rsidRDefault="00E627E7" w:rsidP="00E02D6F">
            <w:pPr>
              <w:rPr>
                <w:color w:val="333333"/>
                <w:sz w:val="17"/>
                <w:szCs w:val="17"/>
              </w:rPr>
            </w:pPr>
            <w:r w:rsidRPr="00871721">
              <w:rPr>
                <w:color w:val="333333"/>
                <w:sz w:val="17"/>
                <w:szCs w:val="17"/>
              </w:rPr>
              <w:t>PRESIDENTE</w:t>
            </w:r>
          </w:p>
        </w:tc>
      </w:tr>
      <w:tr w:rsidR="00E627E7" w:rsidRPr="00871721" w:rsidTr="00E02D6F">
        <w:trPr>
          <w:trHeight w:val="300"/>
        </w:trPr>
        <w:tc>
          <w:tcPr>
            <w:tcW w:w="5207" w:type="dxa"/>
            <w:tcBorders>
              <w:top w:val="nil"/>
              <w:left w:val="single" w:sz="4" w:space="0" w:color="000000"/>
              <w:bottom w:val="single" w:sz="4" w:space="0" w:color="000000"/>
              <w:right w:val="single" w:sz="4" w:space="0" w:color="000000"/>
            </w:tcBorders>
            <w:shd w:val="clear" w:color="auto" w:fill="FFFFFF"/>
            <w:vAlign w:val="bottom"/>
          </w:tcPr>
          <w:p w:rsidR="00E627E7" w:rsidRPr="00871721" w:rsidRDefault="00E627E7" w:rsidP="00E02D6F">
            <w:pPr>
              <w:rPr>
                <w:color w:val="333333"/>
                <w:sz w:val="17"/>
                <w:szCs w:val="17"/>
              </w:rPr>
            </w:pPr>
            <w:r w:rsidRPr="00871721">
              <w:rPr>
                <w:color w:val="333333"/>
                <w:sz w:val="17"/>
                <w:szCs w:val="17"/>
              </w:rPr>
              <w:t>MACHA LINDOJO SOCIEDAD ANONIMA</w:t>
            </w:r>
          </w:p>
        </w:tc>
        <w:tc>
          <w:tcPr>
            <w:tcW w:w="1880" w:type="dxa"/>
            <w:tcBorders>
              <w:top w:val="nil"/>
              <w:left w:val="nil"/>
              <w:bottom w:val="single" w:sz="4" w:space="0" w:color="000000"/>
              <w:right w:val="single" w:sz="4" w:space="0" w:color="000000"/>
            </w:tcBorders>
            <w:shd w:val="clear" w:color="auto" w:fill="FFFFFF"/>
            <w:vAlign w:val="bottom"/>
          </w:tcPr>
          <w:p w:rsidR="00E627E7" w:rsidRPr="00871721" w:rsidRDefault="00E627E7" w:rsidP="00E02D6F">
            <w:pPr>
              <w:rPr>
                <w:color w:val="333333"/>
                <w:sz w:val="17"/>
                <w:szCs w:val="17"/>
              </w:rPr>
            </w:pPr>
            <w:r w:rsidRPr="00871721">
              <w:rPr>
                <w:color w:val="333333"/>
                <w:sz w:val="17"/>
                <w:szCs w:val="17"/>
              </w:rPr>
              <w:t>PRESIDENTE</w:t>
            </w:r>
          </w:p>
        </w:tc>
      </w:tr>
      <w:tr w:rsidR="00E627E7" w:rsidRPr="00871721" w:rsidTr="00E02D6F">
        <w:trPr>
          <w:trHeight w:val="300"/>
        </w:trPr>
        <w:tc>
          <w:tcPr>
            <w:tcW w:w="5207" w:type="dxa"/>
            <w:tcBorders>
              <w:top w:val="nil"/>
              <w:left w:val="single" w:sz="4" w:space="0" w:color="000000"/>
              <w:bottom w:val="single" w:sz="4" w:space="0" w:color="000000"/>
              <w:right w:val="single" w:sz="4" w:space="0" w:color="000000"/>
            </w:tcBorders>
            <w:shd w:val="clear" w:color="auto" w:fill="FFFFFF"/>
            <w:vAlign w:val="bottom"/>
          </w:tcPr>
          <w:p w:rsidR="00E627E7" w:rsidRPr="00871721" w:rsidRDefault="00E627E7" w:rsidP="00E02D6F">
            <w:pPr>
              <w:rPr>
                <w:color w:val="333333"/>
                <w:sz w:val="17"/>
                <w:szCs w:val="17"/>
              </w:rPr>
            </w:pPr>
            <w:r w:rsidRPr="00871721">
              <w:rPr>
                <w:color w:val="333333"/>
                <w:sz w:val="17"/>
                <w:szCs w:val="17"/>
              </w:rPr>
              <w:t>LA CORRONGA SOCIEDAD ANONIMA</w:t>
            </w:r>
          </w:p>
        </w:tc>
        <w:tc>
          <w:tcPr>
            <w:tcW w:w="1880" w:type="dxa"/>
            <w:tcBorders>
              <w:top w:val="nil"/>
              <w:left w:val="nil"/>
              <w:bottom w:val="single" w:sz="4" w:space="0" w:color="000000"/>
              <w:right w:val="single" w:sz="4" w:space="0" w:color="000000"/>
            </w:tcBorders>
            <w:shd w:val="clear" w:color="auto" w:fill="FFFFFF"/>
            <w:vAlign w:val="bottom"/>
          </w:tcPr>
          <w:p w:rsidR="00E627E7" w:rsidRPr="00871721" w:rsidRDefault="00E627E7" w:rsidP="00E02D6F">
            <w:pPr>
              <w:rPr>
                <w:color w:val="333333"/>
                <w:sz w:val="17"/>
                <w:szCs w:val="17"/>
              </w:rPr>
            </w:pPr>
            <w:r w:rsidRPr="00871721">
              <w:rPr>
                <w:color w:val="333333"/>
                <w:sz w:val="17"/>
                <w:szCs w:val="17"/>
              </w:rPr>
              <w:t>PRESIDENTE</w:t>
            </w:r>
          </w:p>
        </w:tc>
      </w:tr>
      <w:tr w:rsidR="00E627E7" w:rsidRPr="00871721" w:rsidTr="00E02D6F">
        <w:trPr>
          <w:trHeight w:val="450"/>
        </w:trPr>
        <w:tc>
          <w:tcPr>
            <w:tcW w:w="5207" w:type="dxa"/>
            <w:tcBorders>
              <w:top w:val="nil"/>
              <w:left w:val="single" w:sz="4" w:space="0" w:color="000000"/>
              <w:bottom w:val="single" w:sz="4" w:space="0" w:color="000000"/>
              <w:right w:val="single" w:sz="4" w:space="0" w:color="000000"/>
            </w:tcBorders>
            <w:shd w:val="clear" w:color="auto" w:fill="FFFFFF"/>
            <w:vAlign w:val="bottom"/>
          </w:tcPr>
          <w:p w:rsidR="00E627E7" w:rsidRPr="00871721" w:rsidRDefault="00E627E7" w:rsidP="00E02D6F">
            <w:pPr>
              <w:rPr>
                <w:color w:val="333333"/>
                <w:sz w:val="17"/>
                <w:szCs w:val="17"/>
              </w:rPr>
            </w:pPr>
            <w:r w:rsidRPr="00871721">
              <w:rPr>
                <w:color w:val="333333"/>
                <w:sz w:val="17"/>
                <w:szCs w:val="17"/>
              </w:rPr>
              <w:t>INMOBILIARIA VALLE CENTRAL SOCIEDAD ANONIMA</w:t>
            </w:r>
          </w:p>
        </w:tc>
        <w:tc>
          <w:tcPr>
            <w:tcW w:w="1880" w:type="dxa"/>
            <w:tcBorders>
              <w:top w:val="nil"/>
              <w:left w:val="nil"/>
              <w:bottom w:val="single" w:sz="4" w:space="0" w:color="000000"/>
              <w:right w:val="single" w:sz="4" w:space="0" w:color="000000"/>
            </w:tcBorders>
            <w:shd w:val="clear" w:color="auto" w:fill="FFFFFF"/>
            <w:vAlign w:val="bottom"/>
          </w:tcPr>
          <w:p w:rsidR="00E627E7" w:rsidRPr="00871721" w:rsidRDefault="00E627E7" w:rsidP="00E02D6F">
            <w:pPr>
              <w:rPr>
                <w:color w:val="333333"/>
                <w:sz w:val="17"/>
                <w:szCs w:val="17"/>
              </w:rPr>
            </w:pPr>
            <w:r w:rsidRPr="00871721">
              <w:rPr>
                <w:color w:val="333333"/>
                <w:sz w:val="17"/>
                <w:szCs w:val="17"/>
              </w:rPr>
              <w:t>PRESIDENTE</w:t>
            </w:r>
          </w:p>
        </w:tc>
      </w:tr>
      <w:tr w:rsidR="00E627E7" w:rsidRPr="00871721" w:rsidTr="00E02D6F">
        <w:trPr>
          <w:trHeight w:val="300"/>
        </w:trPr>
        <w:tc>
          <w:tcPr>
            <w:tcW w:w="5207" w:type="dxa"/>
            <w:tcBorders>
              <w:top w:val="nil"/>
              <w:left w:val="single" w:sz="4" w:space="0" w:color="000000"/>
              <w:bottom w:val="single" w:sz="4" w:space="0" w:color="000000"/>
              <w:right w:val="single" w:sz="4" w:space="0" w:color="000000"/>
            </w:tcBorders>
            <w:shd w:val="clear" w:color="auto" w:fill="FFFFFF"/>
            <w:vAlign w:val="bottom"/>
          </w:tcPr>
          <w:p w:rsidR="00E627E7" w:rsidRPr="00871721" w:rsidRDefault="00E627E7" w:rsidP="00E02D6F">
            <w:pPr>
              <w:rPr>
                <w:color w:val="333333"/>
                <w:sz w:val="17"/>
                <w:szCs w:val="17"/>
              </w:rPr>
            </w:pPr>
            <w:r w:rsidRPr="00871721">
              <w:rPr>
                <w:color w:val="333333"/>
                <w:sz w:val="17"/>
                <w:szCs w:val="17"/>
              </w:rPr>
              <w:t>AGROSUPERIOR SOCIEDAD ANONIMA</w:t>
            </w:r>
          </w:p>
        </w:tc>
        <w:tc>
          <w:tcPr>
            <w:tcW w:w="1880" w:type="dxa"/>
            <w:tcBorders>
              <w:top w:val="nil"/>
              <w:left w:val="nil"/>
              <w:bottom w:val="single" w:sz="4" w:space="0" w:color="000000"/>
              <w:right w:val="single" w:sz="4" w:space="0" w:color="000000"/>
            </w:tcBorders>
            <w:shd w:val="clear" w:color="auto" w:fill="FFFFFF"/>
            <w:vAlign w:val="bottom"/>
          </w:tcPr>
          <w:p w:rsidR="00E627E7" w:rsidRPr="00871721" w:rsidRDefault="00E627E7" w:rsidP="00E02D6F">
            <w:pPr>
              <w:rPr>
                <w:color w:val="333333"/>
                <w:sz w:val="17"/>
                <w:szCs w:val="17"/>
              </w:rPr>
            </w:pPr>
            <w:r w:rsidRPr="00871721">
              <w:rPr>
                <w:color w:val="333333"/>
                <w:sz w:val="17"/>
                <w:szCs w:val="17"/>
              </w:rPr>
              <w:t>DIRECTOR 02</w:t>
            </w:r>
          </w:p>
        </w:tc>
      </w:tr>
      <w:tr w:rsidR="00E627E7" w:rsidRPr="00871721" w:rsidTr="00E02D6F">
        <w:trPr>
          <w:trHeight w:val="300"/>
        </w:trPr>
        <w:tc>
          <w:tcPr>
            <w:tcW w:w="5207" w:type="dxa"/>
            <w:tcBorders>
              <w:top w:val="nil"/>
              <w:left w:val="single" w:sz="4" w:space="0" w:color="000000"/>
              <w:bottom w:val="single" w:sz="4" w:space="0" w:color="000000"/>
              <w:right w:val="single" w:sz="4" w:space="0" w:color="000000"/>
            </w:tcBorders>
            <w:shd w:val="clear" w:color="auto" w:fill="FFFFFF"/>
            <w:vAlign w:val="bottom"/>
          </w:tcPr>
          <w:p w:rsidR="00E627E7" w:rsidRPr="00871721" w:rsidRDefault="00E627E7" w:rsidP="00E02D6F">
            <w:pPr>
              <w:rPr>
                <w:color w:val="333333"/>
                <w:sz w:val="17"/>
                <w:szCs w:val="17"/>
              </w:rPr>
            </w:pPr>
            <w:r w:rsidRPr="00871721">
              <w:rPr>
                <w:color w:val="333333"/>
                <w:sz w:val="17"/>
                <w:szCs w:val="17"/>
              </w:rPr>
              <w:t>JENKINS Y CORONAS SOCIEDAD ANONIMA</w:t>
            </w:r>
          </w:p>
        </w:tc>
        <w:tc>
          <w:tcPr>
            <w:tcW w:w="1880" w:type="dxa"/>
            <w:tcBorders>
              <w:top w:val="nil"/>
              <w:left w:val="nil"/>
              <w:bottom w:val="single" w:sz="4" w:space="0" w:color="000000"/>
              <w:right w:val="single" w:sz="4" w:space="0" w:color="000000"/>
            </w:tcBorders>
            <w:shd w:val="clear" w:color="auto" w:fill="FFFFFF"/>
            <w:vAlign w:val="bottom"/>
          </w:tcPr>
          <w:p w:rsidR="00E627E7" w:rsidRPr="00871721" w:rsidRDefault="00E627E7" w:rsidP="00E02D6F">
            <w:pPr>
              <w:rPr>
                <w:color w:val="333333"/>
                <w:sz w:val="17"/>
                <w:szCs w:val="17"/>
              </w:rPr>
            </w:pPr>
            <w:r w:rsidRPr="00871721">
              <w:rPr>
                <w:color w:val="333333"/>
                <w:sz w:val="17"/>
                <w:szCs w:val="17"/>
              </w:rPr>
              <w:t>PRESIDENTE</w:t>
            </w:r>
          </w:p>
        </w:tc>
      </w:tr>
    </w:tbl>
    <w:p w:rsidR="00E627E7" w:rsidRPr="00871721" w:rsidRDefault="00E627E7" w:rsidP="00E627E7">
      <w:pPr>
        <w:jc w:val="both"/>
        <w:rPr>
          <w:b/>
        </w:rPr>
      </w:pPr>
    </w:p>
    <w:p w:rsidR="00E627E7" w:rsidRPr="00871721" w:rsidRDefault="00E627E7" w:rsidP="00E627E7">
      <w:pPr>
        <w:jc w:val="both"/>
        <w:rPr>
          <w:b/>
        </w:rPr>
      </w:pPr>
    </w:p>
    <w:p w:rsidR="00E627E7" w:rsidRPr="00871721" w:rsidRDefault="00E627E7" w:rsidP="00E627E7">
      <w:pPr>
        <w:jc w:val="both"/>
        <w:rPr>
          <w:b/>
        </w:rPr>
      </w:pPr>
      <w:r w:rsidRPr="00871721">
        <w:rPr>
          <w:b/>
        </w:rPr>
        <w:t xml:space="preserve">Melania Arguedas Esquivel ** No ostenta poder de representación en </w:t>
      </w:r>
      <w:proofErr w:type="spellStart"/>
      <w:r w:rsidRPr="00871721">
        <w:rPr>
          <w:b/>
        </w:rPr>
        <w:t>Holcim</w:t>
      </w:r>
      <w:proofErr w:type="spellEnd"/>
      <w:r w:rsidRPr="00871721">
        <w:rPr>
          <w:b/>
        </w:rPr>
        <w:t xml:space="preserve"> Costa Rica.</w:t>
      </w:r>
    </w:p>
    <w:p w:rsidR="00E627E7" w:rsidRPr="00871721" w:rsidRDefault="00E627E7" w:rsidP="00E627E7">
      <w:pPr>
        <w:jc w:val="both"/>
        <w:rPr>
          <w:b/>
        </w:rPr>
      </w:pPr>
    </w:p>
    <w:tbl>
      <w:tblPr>
        <w:tblW w:w="7087" w:type="dxa"/>
        <w:tblLayout w:type="fixed"/>
        <w:tblLook w:val="0400" w:firstRow="0" w:lastRow="0" w:firstColumn="0" w:lastColumn="0" w:noHBand="0" w:noVBand="1"/>
      </w:tblPr>
      <w:tblGrid>
        <w:gridCol w:w="5207"/>
        <w:gridCol w:w="1880"/>
      </w:tblGrid>
      <w:tr w:rsidR="00E627E7" w:rsidRPr="00871721" w:rsidTr="00E02D6F">
        <w:trPr>
          <w:trHeight w:val="300"/>
        </w:trPr>
        <w:tc>
          <w:tcPr>
            <w:tcW w:w="520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627E7" w:rsidRPr="00871721" w:rsidRDefault="00E627E7" w:rsidP="00E02D6F">
            <w:pPr>
              <w:jc w:val="center"/>
              <w:rPr>
                <w:b/>
                <w:sz w:val="18"/>
                <w:szCs w:val="18"/>
              </w:rPr>
            </w:pPr>
            <w:r w:rsidRPr="00871721">
              <w:rPr>
                <w:b/>
                <w:sz w:val="18"/>
                <w:szCs w:val="18"/>
              </w:rPr>
              <w:t>Sociedad</w:t>
            </w:r>
          </w:p>
        </w:tc>
        <w:tc>
          <w:tcPr>
            <w:tcW w:w="1880" w:type="dxa"/>
            <w:tcBorders>
              <w:top w:val="single" w:sz="4" w:space="0" w:color="000000"/>
              <w:left w:val="nil"/>
              <w:bottom w:val="single" w:sz="4" w:space="0" w:color="000000"/>
              <w:right w:val="single" w:sz="4" w:space="0" w:color="000000"/>
            </w:tcBorders>
            <w:shd w:val="clear" w:color="auto" w:fill="auto"/>
            <w:vAlign w:val="bottom"/>
          </w:tcPr>
          <w:p w:rsidR="00E627E7" w:rsidRPr="00871721" w:rsidRDefault="00E627E7" w:rsidP="00E02D6F">
            <w:pPr>
              <w:jc w:val="center"/>
              <w:rPr>
                <w:b/>
                <w:sz w:val="18"/>
                <w:szCs w:val="18"/>
              </w:rPr>
            </w:pPr>
            <w:r w:rsidRPr="00871721">
              <w:rPr>
                <w:b/>
                <w:sz w:val="18"/>
                <w:szCs w:val="18"/>
              </w:rPr>
              <w:t>Cargo</w:t>
            </w:r>
          </w:p>
        </w:tc>
      </w:tr>
      <w:tr w:rsidR="00E627E7" w:rsidRPr="00871721" w:rsidTr="00E02D6F">
        <w:trPr>
          <w:trHeight w:val="300"/>
        </w:trPr>
        <w:tc>
          <w:tcPr>
            <w:tcW w:w="5207" w:type="dxa"/>
            <w:tcBorders>
              <w:top w:val="nil"/>
              <w:left w:val="single" w:sz="4" w:space="0" w:color="000000"/>
              <w:bottom w:val="single" w:sz="4" w:space="0" w:color="000000"/>
              <w:right w:val="single" w:sz="4" w:space="0" w:color="000000"/>
            </w:tcBorders>
            <w:shd w:val="clear" w:color="auto" w:fill="FFFFFF"/>
            <w:vAlign w:val="bottom"/>
          </w:tcPr>
          <w:p w:rsidR="00E627E7" w:rsidRPr="00871721" w:rsidRDefault="00E627E7" w:rsidP="00E02D6F">
            <w:pPr>
              <w:rPr>
                <w:sz w:val="17"/>
                <w:szCs w:val="17"/>
              </w:rPr>
            </w:pPr>
            <w:r w:rsidRPr="00871721">
              <w:rPr>
                <w:sz w:val="17"/>
                <w:szCs w:val="17"/>
              </w:rPr>
              <w:t>AURORA MEZZANINE S.A.</w:t>
            </w:r>
          </w:p>
        </w:tc>
        <w:tc>
          <w:tcPr>
            <w:tcW w:w="1880" w:type="dxa"/>
            <w:tcBorders>
              <w:top w:val="nil"/>
              <w:left w:val="nil"/>
              <w:bottom w:val="single" w:sz="4" w:space="0" w:color="000000"/>
              <w:right w:val="single" w:sz="4" w:space="0" w:color="000000"/>
            </w:tcBorders>
            <w:shd w:val="clear" w:color="auto" w:fill="FFFFFF"/>
            <w:vAlign w:val="bottom"/>
          </w:tcPr>
          <w:p w:rsidR="00E627E7" w:rsidRPr="00871721" w:rsidRDefault="00E627E7" w:rsidP="00E02D6F">
            <w:pPr>
              <w:rPr>
                <w:sz w:val="17"/>
                <w:szCs w:val="17"/>
              </w:rPr>
            </w:pPr>
            <w:r w:rsidRPr="00871721">
              <w:rPr>
                <w:sz w:val="17"/>
                <w:szCs w:val="17"/>
              </w:rPr>
              <w:t>FISCAL</w:t>
            </w:r>
          </w:p>
        </w:tc>
      </w:tr>
      <w:tr w:rsidR="00E627E7" w:rsidRPr="00871721" w:rsidTr="00E02D6F">
        <w:trPr>
          <w:trHeight w:val="300"/>
        </w:trPr>
        <w:tc>
          <w:tcPr>
            <w:tcW w:w="5207" w:type="dxa"/>
            <w:tcBorders>
              <w:top w:val="nil"/>
              <w:left w:val="single" w:sz="4" w:space="0" w:color="000000"/>
              <w:bottom w:val="single" w:sz="4" w:space="0" w:color="000000"/>
              <w:right w:val="single" w:sz="4" w:space="0" w:color="000000"/>
            </w:tcBorders>
            <w:shd w:val="clear" w:color="auto" w:fill="FFFFFF"/>
            <w:vAlign w:val="bottom"/>
          </w:tcPr>
          <w:p w:rsidR="00E627E7" w:rsidRPr="00871721" w:rsidRDefault="00E627E7" w:rsidP="00E02D6F">
            <w:pPr>
              <w:rPr>
                <w:sz w:val="17"/>
                <w:szCs w:val="17"/>
              </w:rPr>
            </w:pPr>
            <w:r w:rsidRPr="00871721">
              <w:rPr>
                <w:sz w:val="17"/>
                <w:szCs w:val="17"/>
              </w:rPr>
              <w:t>BOLSA NACIONAL DE VALORES S.A.</w:t>
            </w:r>
          </w:p>
        </w:tc>
        <w:tc>
          <w:tcPr>
            <w:tcW w:w="1880" w:type="dxa"/>
            <w:tcBorders>
              <w:top w:val="nil"/>
              <w:left w:val="nil"/>
              <w:bottom w:val="single" w:sz="4" w:space="0" w:color="000000"/>
              <w:right w:val="single" w:sz="4" w:space="0" w:color="000000"/>
            </w:tcBorders>
            <w:shd w:val="clear" w:color="auto" w:fill="FFFFFF"/>
            <w:vAlign w:val="bottom"/>
          </w:tcPr>
          <w:p w:rsidR="00E627E7" w:rsidRPr="00871721" w:rsidRDefault="00E627E7" w:rsidP="00E02D6F">
            <w:pPr>
              <w:rPr>
                <w:sz w:val="17"/>
                <w:szCs w:val="17"/>
              </w:rPr>
            </w:pPr>
            <w:r w:rsidRPr="00871721">
              <w:rPr>
                <w:sz w:val="17"/>
                <w:szCs w:val="17"/>
              </w:rPr>
              <w:t>AGENTE RESIDENTE</w:t>
            </w:r>
          </w:p>
        </w:tc>
      </w:tr>
      <w:tr w:rsidR="00E627E7" w:rsidRPr="00871721" w:rsidTr="00E02D6F">
        <w:trPr>
          <w:trHeight w:val="300"/>
        </w:trPr>
        <w:tc>
          <w:tcPr>
            <w:tcW w:w="5207" w:type="dxa"/>
            <w:tcBorders>
              <w:top w:val="nil"/>
              <w:left w:val="single" w:sz="4" w:space="0" w:color="000000"/>
              <w:bottom w:val="single" w:sz="4" w:space="0" w:color="000000"/>
              <w:right w:val="single" w:sz="4" w:space="0" w:color="000000"/>
            </w:tcBorders>
            <w:shd w:val="clear" w:color="auto" w:fill="FFFFFF"/>
            <w:vAlign w:val="bottom"/>
          </w:tcPr>
          <w:p w:rsidR="00E627E7" w:rsidRPr="00871721" w:rsidRDefault="00E627E7" w:rsidP="00E02D6F">
            <w:pPr>
              <w:rPr>
                <w:sz w:val="17"/>
                <w:szCs w:val="17"/>
              </w:rPr>
            </w:pPr>
            <w:r w:rsidRPr="00871721">
              <w:rPr>
                <w:sz w:val="17"/>
                <w:szCs w:val="17"/>
              </w:rPr>
              <w:t>NAVIA-CELTA S.A.</w:t>
            </w:r>
          </w:p>
        </w:tc>
        <w:tc>
          <w:tcPr>
            <w:tcW w:w="1880" w:type="dxa"/>
            <w:tcBorders>
              <w:top w:val="nil"/>
              <w:left w:val="nil"/>
              <w:bottom w:val="single" w:sz="4" w:space="0" w:color="000000"/>
              <w:right w:val="single" w:sz="4" w:space="0" w:color="000000"/>
            </w:tcBorders>
            <w:shd w:val="clear" w:color="auto" w:fill="FFFFFF"/>
            <w:vAlign w:val="bottom"/>
          </w:tcPr>
          <w:p w:rsidR="00E627E7" w:rsidRPr="00871721" w:rsidRDefault="00E627E7" w:rsidP="00E02D6F">
            <w:pPr>
              <w:rPr>
                <w:sz w:val="17"/>
                <w:szCs w:val="17"/>
              </w:rPr>
            </w:pPr>
            <w:r w:rsidRPr="00871721">
              <w:rPr>
                <w:sz w:val="17"/>
                <w:szCs w:val="17"/>
              </w:rPr>
              <w:t>TESORERO</w:t>
            </w:r>
          </w:p>
        </w:tc>
      </w:tr>
      <w:tr w:rsidR="00E627E7" w:rsidRPr="00871721" w:rsidTr="00E02D6F">
        <w:trPr>
          <w:trHeight w:val="300"/>
        </w:trPr>
        <w:tc>
          <w:tcPr>
            <w:tcW w:w="5207" w:type="dxa"/>
            <w:tcBorders>
              <w:top w:val="nil"/>
              <w:left w:val="single" w:sz="4" w:space="0" w:color="000000"/>
              <w:bottom w:val="single" w:sz="4" w:space="0" w:color="000000"/>
              <w:right w:val="single" w:sz="4" w:space="0" w:color="000000"/>
            </w:tcBorders>
            <w:shd w:val="clear" w:color="auto" w:fill="FFFFFF"/>
            <w:vAlign w:val="bottom"/>
          </w:tcPr>
          <w:p w:rsidR="00E627E7" w:rsidRPr="00871721" w:rsidRDefault="00E627E7" w:rsidP="00E02D6F">
            <w:pPr>
              <w:rPr>
                <w:sz w:val="17"/>
                <w:szCs w:val="17"/>
              </w:rPr>
            </w:pPr>
            <w:r w:rsidRPr="00871721">
              <w:rPr>
                <w:sz w:val="17"/>
                <w:szCs w:val="17"/>
              </w:rPr>
              <w:t>NICKSA S.A.</w:t>
            </w:r>
          </w:p>
        </w:tc>
        <w:tc>
          <w:tcPr>
            <w:tcW w:w="1880" w:type="dxa"/>
            <w:tcBorders>
              <w:top w:val="nil"/>
              <w:left w:val="nil"/>
              <w:bottom w:val="single" w:sz="4" w:space="0" w:color="000000"/>
              <w:right w:val="single" w:sz="4" w:space="0" w:color="000000"/>
            </w:tcBorders>
            <w:shd w:val="clear" w:color="auto" w:fill="FFFFFF"/>
            <w:vAlign w:val="bottom"/>
          </w:tcPr>
          <w:p w:rsidR="00E627E7" w:rsidRPr="00871721" w:rsidRDefault="00E627E7" w:rsidP="00E02D6F">
            <w:pPr>
              <w:rPr>
                <w:sz w:val="17"/>
                <w:szCs w:val="17"/>
              </w:rPr>
            </w:pPr>
            <w:r w:rsidRPr="00871721">
              <w:rPr>
                <w:sz w:val="17"/>
                <w:szCs w:val="17"/>
              </w:rPr>
              <w:t>TESORERO</w:t>
            </w:r>
          </w:p>
        </w:tc>
      </w:tr>
      <w:tr w:rsidR="00E627E7" w:rsidRPr="00871721" w:rsidTr="00E02D6F">
        <w:trPr>
          <w:trHeight w:val="300"/>
        </w:trPr>
        <w:tc>
          <w:tcPr>
            <w:tcW w:w="5207" w:type="dxa"/>
            <w:tcBorders>
              <w:top w:val="nil"/>
              <w:left w:val="single" w:sz="4" w:space="0" w:color="000000"/>
              <w:bottom w:val="single" w:sz="4" w:space="0" w:color="000000"/>
              <w:right w:val="single" w:sz="4" w:space="0" w:color="000000"/>
            </w:tcBorders>
            <w:shd w:val="clear" w:color="auto" w:fill="FFFFFF"/>
            <w:vAlign w:val="bottom"/>
          </w:tcPr>
          <w:p w:rsidR="00E627E7" w:rsidRPr="00871721" w:rsidRDefault="00E627E7" w:rsidP="00E02D6F">
            <w:pPr>
              <w:rPr>
                <w:sz w:val="17"/>
                <w:szCs w:val="17"/>
              </w:rPr>
            </w:pPr>
            <w:r w:rsidRPr="00871721">
              <w:rPr>
                <w:sz w:val="17"/>
                <w:szCs w:val="17"/>
              </w:rPr>
              <w:t>INVERSIONES SANTA BARBARA INTERNACIONAL S.A.</w:t>
            </w:r>
          </w:p>
        </w:tc>
        <w:tc>
          <w:tcPr>
            <w:tcW w:w="1880" w:type="dxa"/>
            <w:tcBorders>
              <w:top w:val="nil"/>
              <w:left w:val="nil"/>
              <w:bottom w:val="single" w:sz="4" w:space="0" w:color="000000"/>
              <w:right w:val="single" w:sz="4" w:space="0" w:color="000000"/>
            </w:tcBorders>
            <w:shd w:val="clear" w:color="auto" w:fill="FFFFFF"/>
            <w:vAlign w:val="bottom"/>
          </w:tcPr>
          <w:p w:rsidR="00E627E7" w:rsidRPr="00871721" w:rsidRDefault="00E627E7" w:rsidP="00E02D6F">
            <w:pPr>
              <w:rPr>
                <w:sz w:val="17"/>
                <w:szCs w:val="17"/>
              </w:rPr>
            </w:pPr>
            <w:r w:rsidRPr="00871721">
              <w:rPr>
                <w:sz w:val="17"/>
                <w:szCs w:val="17"/>
              </w:rPr>
              <w:t>PRESIDENTE</w:t>
            </w:r>
          </w:p>
        </w:tc>
      </w:tr>
      <w:tr w:rsidR="00E627E7" w:rsidRPr="00871721" w:rsidTr="00E02D6F">
        <w:trPr>
          <w:trHeight w:val="300"/>
        </w:trPr>
        <w:tc>
          <w:tcPr>
            <w:tcW w:w="5207" w:type="dxa"/>
            <w:tcBorders>
              <w:top w:val="nil"/>
              <w:left w:val="single" w:sz="4" w:space="0" w:color="000000"/>
              <w:bottom w:val="single" w:sz="4" w:space="0" w:color="000000"/>
              <w:right w:val="single" w:sz="4" w:space="0" w:color="000000"/>
            </w:tcBorders>
            <w:shd w:val="clear" w:color="auto" w:fill="FFFFFF"/>
            <w:vAlign w:val="bottom"/>
          </w:tcPr>
          <w:p w:rsidR="00E627E7" w:rsidRPr="00871721" w:rsidRDefault="00E627E7" w:rsidP="00E02D6F">
            <w:pPr>
              <w:rPr>
                <w:sz w:val="17"/>
                <w:szCs w:val="17"/>
              </w:rPr>
            </w:pPr>
            <w:r w:rsidRPr="00871721">
              <w:rPr>
                <w:sz w:val="17"/>
                <w:szCs w:val="17"/>
              </w:rPr>
              <w:t>AINE-CELTA S.A.</w:t>
            </w:r>
          </w:p>
        </w:tc>
        <w:tc>
          <w:tcPr>
            <w:tcW w:w="1880" w:type="dxa"/>
            <w:tcBorders>
              <w:top w:val="nil"/>
              <w:left w:val="nil"/>
              <w:bottom w:val="single" w:sz="4" w:space="0" w:color="000000"/>
              <w:right w:val="single" w:sz="4" w:space="0" w:color="000000"/>
            </w:tcBorders>
            <w:shd w:val="clear" w:color="auto" w:fill="FFFFFF"/>
            <w:vAlign w:val="bottom"/>
          </w:tcPr>
          <w:p w:rsidR="00E627E7" w:rsidRPr="00871721" w:rsidRDefault="00E627E7" w:rsidP="00E02D6F">
            <w:pPr>
              <w:rPr>
                <w:sz w:val="17"/>
                <w:szCs w:val="17"/>
              </w:rPr>
            </w:pPr>
            <w:r w:rsidRPr="00871721">
              <w:rPr>
                <w:sz w:val="17"/>
                <w:szCs w:val="17"/>
              </w:rPr>
              <w:t>PRESIDENTE</w:t>
            </w:r>
          </w:p>
        </w:tc>
      </w:tr>
    </w:tbl>
    <w:p w:rsidR="00E627E7" w:rsidRPr="00871721" w:rsidRDefault="00E627E7" w:rsidP="00E627E7">
      <w:pPr>
        <w:jc w:val="both"/>
      </w:pPr>
    </w:p>
    <w:p w:rsidR="00E627E7" w:rsidRDefault="00E627E7" w:rsidP="00E627E7"/>
    <w:p w:rsidR="00E627E7" w:rsidRDefault="00E627E7" w:rsidP="00E627E7"/>
    <w:p w:rsidR="00E627E7" w:rsidRDefault="00E627E7" w:rsidP="00E627E7"/>
    <w:p w:rsidR="00E627E7" w:rsidRDefault="00E627E7" w:rsidP="00E627E7"/>
    <w:p w:rsidR="00E627E7" w:rsidRDefault="00E627E7" w:rsidP="00E627E7"/>
    <w:p w:rsidR="00E627E7" w:rsidRDefault="00E627E7" w:rsidP="00E627E7"/>
    <w:p w:rsidR="00E627E7" w:rsidRDefault="00E627E7" w:rsidP="00E627E7"/>
    <w:p w:rsidR="00E627E7" w:rsidRDefault="00E627E7" w:rsidP="00E627E7"/>
    <w:p w:rsidR="00E627E7" w:rsidRDefault="00E627E7" w:rsidP="00E627E7"/>
    <w:p w:rsidR="00E627E7" w:rsidRDefault="00E627E7" w:rsidP="00E627E7"/>
    <w:p w:rsidR="00E627E7" w:rsidRDefault="00E627E7" w:rsidP="00E627E7"/>
    <w:p w:rsidR="00E627E7" w:rsidRDefault="00E627E7" w:rsidP="00E627E7"/>
    <w:p w:rsidR="00E627E7" w:rsidRDefault="00E627E7" w:rsidP="00E627E7"/>
    <w:p w:rsidR="00E627E7" w:rsidRPr="00871721" w:rsidRDefault="00E627E7" w:rsidP="00E627E7"/>
    <w:p w:rsidR="00E627E7" w:rsidRPr="00871721" w:rsidRDefault="00E627E7" w:rsidP="00E627E7">
      <w:pPr>
        <w:rPr>
          <w:b/>
        </w:rPr>
      </w:pPr>
    </w:p>
    <w:p w:rsidR="00E627E7" w:rsidRPr="00871721" w:rsidRDefault="00E627E7" w:rsidP="00E627E7">
      <w:pPr>
        <w:rPr>
          <w:b/>
        </w:rPr>
      </w:pPr>
      <w:r w:rsidRPr="00871721">
        <w:rPr>
          <w:b/>
        </w:rPr>
        <w:t>Información del Comité Ejecutivo Local</w:t>
      </w:r>
    </w:p>
    <w:p w:rsidR="00E627E7" w:rsidRPr="00871721" w:rsidRDefault="00E627E7" w:rsidP="00E627E7">
      <w:pPr>
        <w:jc w:val="both"/>
      </w:pPr>
    </w:p>
    <w:p w:rsidR="00E627E7" w:rsidRPr="00871721" w:rsidRDefault="00E627E7" w:rsidP="00E627E7">
      <w:pPr>
        <w:jc w:val="both"/>
      </w:pPr>
      <w:r w:rsidRPr="00871721">
        <w:t>Durante 2023, el comité ejecutivo se encontraba conformado de la siguiente manera:</w:t>
      </w:r>
    </w:p>
    <w:p w:rsidR="00E627E7" w:rsidRPr="00871721" w:rsidRDefault="00E627E7" w:rsidP="00E627E7">
      <w:pPr>
        <w:rPr>
          <w:sz w:val="18"/>
          <w:szCs w:val="18"/>
          <w:shd w:val="clear" w:color="auto" w:fill="E69138"/>
        </w:rPr>
      </w:pPr>
    </w:p>
    <w:tbl>
      <w:tblPr>
        <w:tblW w:w="9744" w:type="dxa"/>
        <w:tblBorders>
          <w:top w:val="single" w:sz="4" w:space="0" w:color="666666"/>
          <w:left w:val="single" w:sz="4" w:space="0" w:color="000000"/>
          <w:bottom w:val="single" w:sz="4" w:space="0" w:color="666666"/>
          <w:right w:val="single" w:sz="4" w:space="0" w:color="000000"/>
          <w:insideH w:val="single" w:sz="4" w:space="0" w:color="666666"/>
          <w:insideV w:val="single" w:sz="4" w:space="0" w:color="666666"/>
        </w:tblBorders>
        <w:tblLayout w:type="fixed"/>
        <w:tblLook w:val="0400" w:firstRow="0" w:lastRow="0" w:firstColumn="0" w:lastColumn="0" w:noHBand="0" w:noVBand="1"/>
      </w:tblPr>
      <w:tblGrid>
        <w:gridCol w:w="1392"/>
        <w:gridCol w:w="1392"/>
        <w:gridCol w:w="1392"/>
        <w:gridCol w:w="1392"/>
        <w:gridCol w:w="1657"/>
        <w:gridCol w:w="1127"/>
        <w:gridCol w:w="1392"/>
      </w:tblGrid>
      <w:tr w:rsidR="00E627E7" w:rsidRPr="00871721" w:rsidTr="00E02D6F">
        <w:trPr>
          <w:trHeight w:val="208"/>
          <w:tblHeader/>
        </w:trPr>
        <w:tc>
          <w:tcPr>
            <w:tcW w:w="1392" w:type="dxa"/>
          </w:tcPr>
          <w:p w:rsidR="00E627E7" w:rsidRPr="00871721" w:rsidRDefault="00E627E7" w:rsidP="00E02D6F">
            <w:pPr>
              <w:jc w:val="center"/>
              <w:rPr>
                <w:b/>
                <w:sz w:val="20"/>
                <w:szCs w:val="20"/>
              </w:rPr>
            </w:pPr>
            <w:r w:rsidRPr="00871721">
              <w:rPr>
                <w:b/>
                <w:sz w:val="20"/>
                <w:szCs w:val="20"/>
              </w:rPr>
              <w:t>Nombre</w:t>
            </w:r>
          </w:p>
        </w:tc>
        <w:tc>
          <w:tcPr>
            <w:tcW w:w="1392" w:type="dxa"/>
          </w:tcPr>
          <w:p w:rsidR="00E627E7" w:rsidRPr="00871721" w:rsidRDefault="00E627E7" w:rsidP="00E02D6F">
            <w:pPr>
              <w:jc w:val="center"/>
              <w:rPr>
                <w:b/>
                <w:sz w:val="20"/>
                <w:szCs w:val="20"/>
              </w:rPr>
            </w:pPr>
            <w:r w:rsidRPr="00871721">
              <w:rPr>
                <w:b/>
                <w:sz w:val="20"/>
                <w:szCs w:val="20"/>
              </w:rPr>
              <w:t>Cargo</w:t>
            </w:r>
          </w:p>
        </w:tc>
        <w:tc>
          <w:tcPr>
            <w:tcW w:w="1392" w:type="dxa"/>
          </w:tcPr>
          <w:p w:rsidR="00E627E7" w:rsidRPr="00871721" w:rsidRDefault="00E627E7" w:rsidP="00E02D6F">
            <w:pPr>
              <w:jc w:val="center"/>
              <w:rPr>
                <w:b/>
                <w:sz w:val="20"/>
                <w:szCs w:val="20"/>
              </w:rPr>
            </w:pPr>
            <w:r w:rsidRPr="00871721">
              <w:rPr>
                <w:b/>
                <w:sz w:val="20"/>
                <w:szCs w:val="20"/>
              </w:rPr>
              <w:t>Nacionalidad</w:t>
            </w:r>
          </w:p>
        </w:tc>
        <w:tc>
          <w:tcPr>
            <w:tcW w:w="1392" w:type="dxa"/>
          </w:tcPr>
          <w:p w:rsidR="00E627E7" w:rsidRPr="00871721" w:rsidRDefault="00E627E7" w:rsidP="00E02D6F">
            <w:pPr>
              <w:jc w:val="center"/>
              <w:rPr>
                <w:b/>
                <w:sz w:val="20"/>
                <w:szCs w:val="20"/>
              </w:rPr>
            </w:pPr>
            <w:r w:rsidRPr="00871721">
              <w:rPr>
                <w:b/>
                <w:sz w:val="20"/>
                <w:szCs w:val="20"/>
              </w:rPr>
              <w:t>Año de Nacimiento</w:t>
            </w:r>
          </w:p>
        </w:tc>
        <w:tc>
          <w:tcPr>
            <w:tcW w:w="1657" w:type="dxa"/>
          </w:tcPr>
          <w:p w:rsidR="00E627E7" w:rsidRPr="00871721" w:rsidRDefault="00E627E7" w:rsidP="00E02D6F">
            <w:pPr>
              <w:jc w:val="center"/>
              <w:rPr>
                <w:b/>
                <w:sz w:val="20"/>
                <w:szCs w:val="20"/>
              </w:rPr>
            </w:pPr>
            <w:r w:rsidRPr="00871721">
              <w:rPr>
                <w:b/>
                <w:sz w:val="20"/>
                <w:szCs w:val="20"/>
              </w:rPr>
              <w:t>Fecha Nombramiento</w:t>
            </w:r>
          </w:p>
        </w:tc>
        <w:tc>
          <w:tcPr>
            <w:tcW w:w="1127" w:type="dxa"/>
          </w:tcPr>
          <w:p w:rsidR="00E627E7" w:rsidRPr="00871721" w:rsidRDefault="00E627E7" w:rsidP="00E02D6F">
            <w:pPr>
              <w:jc w:val="center"/>
              <w:rPr>
                <w:b/>
                <w:sz w:val="20"/>
                <w:szCs w:val="20"/>
              </w:rPr>
            </w:pPr>
            <w:r w:rsidRPr="00871721">
              <w:rPr>
                <w:b/>
                <w:sz w:val="20"/>
                <w:szCs w:val="20"/>
              </w:rPr>
              <w:t>Tiempo en el puesto</w:t>
            </w:r>
          </w:p>
        </w:tc>
        <w:tc>
          <w:tcPr>
            <w:tcW w:w="1392" w:type="dxa"/>
          </w:tcPr>
          <w:p w:rsidR="00E627E7" w:rsidRPr="00871721" w:rsidRDefault="00E627E7" w:rsidP="00E02D6F">
            <w:pPr>
              <w:jc w:val="center"/>
              <w:rPr>
                <w:b/>
                <w:sz w:val="20"/>
                <w:szCs w:val="20"/>
              </w:rPr>
            </w:pPr>
            <w:r w:rsidRPr="00871721">
              <w:rPr>
                <w:b/>
                <w:sz w:val="20"/>
                <w:szCs w:val="20"/>
              </w:rPr>
              <w:t xml:space="preserve">Poder </w:t>
            </w:r>
          </w:p>
        </w:tc>
      </w:tr>
      <w:tr w:rsidR="00E627E7" w:rsidRPr="00871721" w:rsidTr="00E02D6F">
        <w:trPr>
          <w:trHeight w:val="374"/>
        </w:trPr>
        <w:tc>
          <w:tcPr>
            <w:tcW w:w="1392" w:type="dxa"/>
          </w:tcPr>
          <w:p w:rsidR="00E627E7" w:rsidRPr="00871721" w:rsidRDefault="00E627E7" w:rsidP="00E02D6F">
            <w:pPr>
              <w:rPr>
                <w:sz w:val="20"/>
                <w:szCs w:val="20"/>
              </w:rPr>
            </w:pPr>
            <w:r>
              <w:rPr>
                <w:sz w:val="20"/>
                <w:szCs w:val="20"/>
              </w:rPr>
              <w:t>Natalia Soler</w:t>
            </w:r>
            <w:r w:rsidRPr="00871721">
              <w:rPr>
                <w:sz w:val="20"/>
                <w:szCs w:val="20"/>
              </w:rPr>
              <w:t xml:space="preserve"> </w:t>
            </w:r>
          </w:p>
        </w:tc>
        <w:tc>
          <w:tcPr>
            <w:tcW w:w="1392" w:type="dxa"/>
          </w:tcPr>
          <w:p w:rsidR="00E627E7" w:rsidRPr="00871721" w:rsidRDefault="00E627E7" w:rsidP="00E02D6F">
            <w:pPr>
              <w:rPr>
                <w:sz w:val="20"/>
                <w:szCs w:val="20"/>
              </w:rPr>
            </w:pPr>
            <w:r w:rsidRPr="00871721">
              <w:rPr>
                <w:sz w:val="20"/>
                <w:szCs w:val="20"/>
              </w:rPr>
              <w:t>CEO</w:t>
            </w:r>
          </w:p>
        </w:tc>
        <w:tc>
          <w:tcPr>
            <w:tcW w:w="1392" w:type="dxa"/>
          </w:tcPr>
          <w:p w:rsidR="00E627E7" w:rsidRPr="00871721" w:rsidRDefault="00E627E7" w:rsidP="00E02D6F">
            <w:pPr>
              <w:jc w:val="center"/>
              <w:rPr>
                <w:sz w:val="20"/>
                <w:szCs w:val="20"/>
              </w:rPr>
            </w:pPr>
            <w:r>
              <w:rPr>
                <w:sz w:val="20"/>
                <w:szCs w:val="20"/>
              </w:rPr>
              <w:t>Argentina</w:t>
            </w:r>
          </w:p>
        </w:tc>
        <w:tc>
          <w:tcPr>
            <w:tcW w:w="1392" w:type="dxa"/>
          </w:tcPr>
          <w:p w:rsidR="00E627E7" w:rsidRPr="00871721" w:rsidRDefault="00E627E7" w:rsidP="00E02D6F">
            <w:pPr>
              <w:jc w:val="center"/>
              <w:rPr>
                <w:sz w:val="20"/>
                <w:szCs w:val="20"/>
              </w:rPr>
            </w:pPr>
            <w:r>
              <w:rPr>
                <w:sz w:val="20"/>
                <w:szCs w:val="20"/>
              </w:rPr>
              <w:t>1981</w:t>
            </w:r>
          </w:p>
        </w:tc>
        <w:tc>
          <w:tcPr>
            <w:tcW w:w="1657" w:type="dxa"/>
          </w:tcPr>
          <w:p w:rsidR="00E627E7" w:rsidRPr="00871721" w:rsidRDefault="00E627E7" w:rsidP="00E02D6F">
            <w:pPr>
              <w:jc w:val="center"/>
              <w:rPr>
                <w:sz w:val="20"/>
                <w:szCs w:val="20"/>
              </w:rPr>
            </w:pPr>
            <w:r w:rsidRPr="00871721">
              <w:rPr>
                <w:sz w:val="20"/>
                <w:szCs w:val="20"/>
              </w:rPr>
              <w:t xml:space="preserve">1 </w:t>
            </w:r>
            <w:r>
              <w:rPr>
                <w:sz w:val="20"/>
                <w:szCs w:val="20"/>
              </w:rPr>
              <w:t>May</w:t>
            </w:r>
            <w:r w:rsidRPr="00871721">
              <w:rPr>
                <w:sz w:val="20"/>
                <w:szCs w:val="20"/>
              </w:rPr>
              <w:t>o 202</w:t>
            </w:r>
            <w:r>
              <w:rPr>
                <w:sz w:val="20"/>
                <w:szCs w:val="20"/>
              </w:rPr>
              <w:t>4</w:t>
            </w:r>
          </w:p>
        </w:tc>
        <w:tc>
          <w:tcPr>
            <w:tcW w:w="1127" w:type="dxa"/>
          </w:tcPr>
          <w:p w:rsidR="00E627E7" w:rsidRPr="00871721" w:rsidRDefault="00E627E7" w:rsidP="00E02D6F">
            <w:pPr>
              <w:jc w:val="center"/>
              <w:rPr>
                <w:sz w:val="20"/>
                <w:szCs w:val="20"/>
              </w:rPr>
            </w:pPr>
            <w:r>
              <w:rPr>
                <w:sz w:val="20"/>
                <w:szCs w:val="20"/>
              </w:rPr>
              <w:t xml:space="preserve">3 </w:t>
            </w:r>
            <w:r w:rsidRPr="00871721">
              <w:rPr>
                <w:sz w:val="20"/>
                <w:szCs w:val="20"/>
              </w:rPr>
              <w:t>mes</w:t>
            </w:r>
            <w:r>
              <w:rPr>
                <w:sz w:val="20"/>
                <w:szCs w:val="20"/>
              </w:rPr>
              <w:t>es</w:t>
            </w:r>
          </w:p>
        </w:tc>
        <w:tc>
          <w:tcPr>
            <w:tcW w:w="1392" w:type="dxa"/>
          </w:tcPr>
          <w:p w:rsidR="00E627E7" w:rsidRPr="00871721" w:rsidRDefault="00E627E7" w:rsidP="00E02D6F">
            <w:pPr>
              <w:jc w:val="center"/>
              <w:rPr>
                <w:sz w:val="20"/>
                <w:szCs w:val="20"/>
              </w:rPr>
            </w:pPr>
            <w:r w:rsidRPr="00871721">
              <w:rPr>
                <w:sz w:val="20"/>
                <w:szCs w:val="20"/>
              </w:rPr>
              <w:t>Poder Generalísimo</w:t>
            </w:r>
          </w:p>
        </w:tc>
      </w:tr>
      <w:tr w:rsidR="00E627E7" w:rsidRPr="00871721" w:rsidTr="00E02D6F">
        <w:trPr>
          <w:trHeight w:val="469"/>
        </w:trPr>
        <w:tc>
          <w:tcPr>
            <w:tcW w:w="1392" w:type="dxa"/>
          </w:tcPr>
          <w:p w:rsidR="00E627E7" w:rsidRPr="00871721" w:rsidRDefault="00E627E7" w:rsidP="00E02D6F">
            <w:pPr>
              <w:rPr>
                <w:sz w:val="20"/>
                <w:szCs w:val="20"/>
              </w:rPr>
            </w:pPr>
            <w:r w:rsidRPr="00871721">
              <w:rPr>
                <w:sz w:val="20"/>
                <w:szCs w:val="20"/>
              </w:rPr>
              <w:t>Alfredo Molina</w:t>
            </w:r>
          </w:p>
        </w:tc>
        <w:tc>
          <w:tcPr>
            <w:tcW w:w="1392" w:type="dxa"/>
          </w:tcPr>
          <w:p w:rsidR="00E627E7" w:rsidRPr="00871721" w:rsidRDefault="00E627E7" w:rsidP="00E02D6F">
            <w:pPr>
              <w:rPr>
                <w:sz w:val="20"/>
                <w:szCs w:val="20"/>
              </w:rPr>
            </w:pPr>
            <w:r w:rsidRPr="00871721">
              <w:rPr>
                <w:sz w:val="20"/>
                <w:szCs w:val="20"/>
              </w:rPr>
              <w:t>Gerente de Planta</w:t>
            </w:r>
          </w:p>
        </w:tc>
        <w:tc>
          <w:tcPr>
            <w:tcW w:w="1392" w:type="dxa"/>
          </w:tcPr>
          <w:p w:rsidR="00E627E7" w:rsidRPr="00871721" w:rsidRDefault="00E627E7" w:rsidP="00E02D6F">
            <w:pPr>
              <w:jc w:val="center"/>
              <w:rPr>
                <w:sz w:val="20"/>
                <w:szCs w:val="20"/>
              </w:rPr>
            </w:pPr>
            <w:r w:rsidRPr="00871721">
              <w:rPr>
                <w:sz w:val="20"/>
                <w:szCs w:val="20"/>
              </w:rPr>
              <w:t>Mexicano</w:t>
            </w:r>
          </w:p>
        </w:tc>
        <w:tc>
          <w:tcPr>
            <w:tcW w:w="1392" w:type="dxa"/>
          </w:tcPr>
          <w:p w:rsidR="00E627E7" w:rsidRPr="00871721" w:rsidRDefault="00E627E7" w:rsidP="00E02D6F">
            <w:pPr>
              <w:jc w:val="center"/>
              <w:rPr>
                <w:sz w:val="20"/>
                <w:szCs w:val="20"/>
              </w:rPr>
            </w:pPr>
            <w:r w:rsidRPr="00871721">
              <w:rPr>
                <w:sz w:val="20"/>
                <w:szCs w:val="20"/>
              </w:rPr>
              <w:t>1966</w:t>
            </w:r>
          </w:p>
        </w:tc>
        <w:tc>
          <w:tcPr>
            <w:tcW w:w="1657" w:type="dxa"/>
          </w:tcPr>
          <w:p w:rsidR="00E627E7" w:rsidRPr="00871721" w:rsidRDefault="00E627E7" w:rsidP="00E02D6F">
            <w:pPr>
              <w:jc w:val="center"/>
              <w:rPr>
                <w:sz w:val="20"/>
                <w:szCs w:val="20"/>
              </w:rPr>
            </w:pPr>
            <w:r w:rsidRPr="00871721">
              <w:rPr>
                <w:sz w:val="20"/>
                <w:szCs w:val="20"/>
              </w:rPr>
              <w:t>1 Enero 2022</w:t>
            </w:r>
          </w:p>
        </w:tc>
        <w:tc>
          <w:tcPr>
            <w:tcW w:w="1127" w:type="dxa"/>
          </w:tcPr>
          <w:p w:rsidR="00E627E7" w:rsidRPr="00871721" w:rsidRDefault="00E627E7" w:rsidP="00E02D6F">
            <w:pPr>
              <w:jc w:val="center"/>
              <w:rPr>
                <w:sz w:val="20"/>
                <w:szCs w:val="20"/>
              </w:rPr>
            </w:pPr>
            <w:r w:rsidRPr="00871721">
              <w:rPr>
                <w:sz w:val="20"/>
                <w:szCs w:val="20"/>
              </w:rPr>
              <w:t>28 meses</w:t>
            </w:r>
          </w:p>
        </w:tc>
        <w:tc>
          <w:tcPr>
            <w:tcW w:w="1392" w:type="dxa"/>
          </w:tcPr>
          <w:p w:rsidR="00E627E7" w:rsidRPr="00871721" w:rsidRDefault="00E627E7" w:rsidP="00E02D6F">
            <w:pPr>
              <w:jc w:val="center"/>
              <w:rPr>
                <w:sz w:val="20"/>
                <w:szCs w:val="20"/>
              </w:rPr>
            </w:pPr>
            <w:r w:rsidRPr="00871721">
              <w:rPr>
                <w:sz w:val="20"/>
                <w:szCs w:val="20"/>
              </w:rPr>
              <w:t xml:space="preserve"> Poder generalísimo hasta por USD 25mn mancomunado con otro apoderado</w:t>
            </w:r>
          </w:p>
        </w:tc>
      </w:tr>
      <w:tr w:rsidR="00E627E7" w:rsidRPr="00871721" w:rsidTr="00E02D6F">
        <w:trPr>
          <w:trHeight w:val="469"/>
        </w:trPr>
        <w:tc>
          <w:tcPr>
            <w:tcW w:w="1392" w:type="dxa"/>
          </w:tcPr>
          <w:p w:rsidR="00E627E7" w:rsidRPr="00871721" w:rsidRDefault="00E627E7" w:rsidP="00E02D6F">
            <w:pPr>
              <w:rPr>
                <w:sz w:val="20"/>
                <w:szCs w:val="20"/>
              </w:rPr>
            </w:pPr>
            <w:r w:rsidRPr="00871721">
              <w:rPr>
                <w:sz w:val="20"/>
                <w:szCs w:val="20"/>
              </w:rPr>
              <w:t>Raúl García</w:t>
            </w:r>
          </w:p>
        </w:tc>
        <w:tc>
          <w:tcPr>
            <w:tcW w:w="1392" w:type="dxa"/>
          </w:tcPr>
          <w:p w:rsidR="00E627E7" w:rsidRPr="00871721" w:rsidRDefault="00E627E7" w:rsidP="00E02D6F">
            <w:pPr>
              <w:rPr>
                <w:sz w:val="20"/>
                <w:szCs w:val="20"/>
              </w:rPr>
            </w:pPr>
            <w:r w:rsidRPr="00871721">
              <w:rPr>
                <w:sz w:val="20"/>
                <w:szCs w:val="20"/>
              </w:rPr>
              <w:t xml:space="preserve">Gerente de Recursos Humanos </w:t>
            </w:r>
          </w:p>
        </w:tc>
        <w:tc>
          <w:tcPr>
            <w:tcW w:w="1392" w:type="dxa"/>
          </w:tcPr>
          <w:p w:rsidR="00E627E7" w:rsidRPr="00871721" w:rsidRDefault="00E627E7" w:rsidP="00E02D6F">
            <w:pPr>
              <w:rPr>
                <w:sz w:val="20"/>
                <w:szCs w:val="20"/>
              </w:rPr>
            </w:pPr>
            <w:r w:rsidRPr="00871721">
              <w:rPr>
                <w:sz w:val="20"/>
                <w:szCs w:val="20"/>
              </w:rPr>
              <w:t>Mexicano</w:t>
            </w:r>
          </w:p>
        </w:tc>
        <w:tc>
          <w:tcPr>
            <w:tcW w:w="1392" w:type="dxa"/>
          </w:tcPr>
          <w:p w:rsidR="00E627E7" w:rsidRPr="00871721" w:rsidRDefault="00E627E7" w:rsidP="00E02D6F">
            <w:pPr>
              <w:jc w:val="center"/>
              <w:rPr>
                <w:sz w:val="20"/>
                <w:szCs w:val="20"/>
              </w:rPr>
            </w:pPr>
            <w:r w:rsidRPr="00871721">
              <w:rPr>
                <w:sz w:val="20"/>
                <w:szCs w:val="20"/>
              </w:rPr>
              <w:t>1970</w:t>
            </w:r>
          </w:p>
        </w:tc>
        <w:tc>
          <w:tcPr>
            <w:tcW w:w="1657" w:type="dxa"/>
          </w:tcPr>
          <w:p w:rsidR="00E627E7" w:rsidRPr="00871721" w:rsidRDefault="00E627E7" w:rsidP="00E02D6F">
            <w:pPr>
              <w:jc w:val="center"/>
              <w:rPr>
                <w:sz w:val="20"/>
                <w:szCs w:val="20"/>
              </w:rPr>
            </w:pPr>
            <w:r w:rsidRPr="00871721">
              <w:rPr>
                <w:sz w:val="20"/>
                <w:szCs w:val="20"/>
              </w:rPr>
              <w:t>1 Febrero 2022</w:t>
            </w:r>
          </w:p>
        </w:tc>
        <w:tc>
          <w:tcPr>
            <w:tcW w:w="1127" w:type="dxa"/>
          </w:tcPr>
          <w:p w:rsidR="00E627E7" w:rsidRPr="00871721" w:rsidRDefault="00E627E7" w:rsidP="00E02D6F">
            <w:pPr>
              <w:jc w:val="center"/>
              <w:rPr>
                <w:sz w:val="20"/>
                <w:szCs w:val="20"/>
              </w:rPr>
            </w:pPr>
            <w:r w:rsidRPr="00871721">
              <w:rPr>
                <w:sz w:val="20"/>
                <w:szCs w:val="20"/>
              </w:rPr>
              <w:t>27 meses</w:t>
            </w:r>
          </w:p>
        </w:tc>
        <w:tc>
          <w:tcPr>
            <w:tcW w:w="1392" w:type="dxa"/>
          </w:tcPr>
          <w:p w:rsidR="00E627E7" w:rsidRPr="00871721" w:rsidRDefault="00E627E7" w:rsidP="00E02D6F">
            <w:pPr>
              <w:jc w:val="center"/>
              <w:rPr>
                <w:sz w:val="20"/>
                <w:szCs w:val="20"/>
              </w:rPr>
            </w:pPr>
            <w:r w:rsidRPr="00871721">
              <w:rPr>
                <w:sz w:val="20"/>
                <w:szCs w:val="20"/>
              </w:rPr>
              <w:t>Poder generalísimo hasta por USD 25m mancomunado con otro apoderado</w:t>
            </w:r>
          </w:p>
        </w:tc>
      </w:tr>
      <w:tr w:rsidR="00E627E7" w:rsidRPr="00871721" w:rsidTr="00E02D6F">
        <w:trPr>
          <w:trHeight w:val="469"/>
        </w:trPr>
        <w:tc>
          <w:tcPr>
            <w:tcW w:w="1392" w:type="dxa"/>
          </w:tcPr>
          <w:p w:rsidR="00E627E7" w:rsidRPr="006C3346" w:rsidRDefault="00E627E7" w:rsidP="00E02D6F">
            <w:pPr>
              <w:rPr>
                <w:sz w:val="20"/>
                <w:szCs w:val="20"/>
              </w:rPr>
            </w:pPr>
            <w:r w:rsidRPr="006C3346">
              <w:rPr>
                <w:sz w:val="20"/>
                <w:szCs w:val="20"/>
              </w:rPr>
              <w:t>Marcela Brenes</w:t>
            </w:r>
          </w:p>
        </w:tc>
        <w:tc>
          <w:tcPr>
            <w:tcW w:w="1392" w:type="dxa"/>
          </w:tcPr>
          <w:p w:rsidR="00E627E7" w:rsidRPr="006C3346" w:rsidRDefault="00E627E7" w:rsidP="00E02D6F">
            <w:pPr>
              <w:rPr>
                <w:sz w:val="20"/>
                <w:szCs w:val="20"/>
              </w:rPr>
            </w:pPr>
            <w:r w:rsidRPr="006C3346">
              <w:rPr>
                <w:sz w:val="20"/>
                <w:szCs w:val="20"/>
              </w:rPr>
              <w:t>Gerente de Mercadeo</w:t>
            </w:r>
          </w:p>
        </w:tc>
        <w:tc>
          <w:tcPr>
            <w:tcW w:w="1392" w:type="dxa"/>
          </w:tcPr>
          <w:p w:rsidR="00E627E7" w:rsidRPr="00871721" w:rsidRDefault="00E627E7" w:rsidP="00E02D6F">
            <w:pPr>
              <w:rPr>
                <w:sz w:val="20"/>
                <w:szCs w:val="20"/>
              </w:rPr>
            </w:pPr>
            <w:r w:rsidRPr="00871721">
              <w:rPr>
                <w:sz w:val="20"/>
                <w:szCs w:val="20"/>
              </w:rPr>
              <w:t>Costarricense</w:t>
            </w:r>
          </w:p>
        </w:tc>
        <w:tc>
          <w:tcPr>
            <w:tcW w:w="1392" w:type="dxa"/>
          </w:tcPr>
          <w:p w:rsidR="00E627E7" w:rsidRPr="00871721" w:rsidRDefault="00E627E7" w:rsidP="00E02D6F">
            <w:pPr>
              <w:jc w:val="center"/>
              <w:rPr>
                <w:sz w:val="20"/>
                <w:szCs w:val="20"/>
              </w:rPr>
            </w:pPr>
            <w:r>
              <w:rPr>
                <w:sz w:val="20"/>
                <w:szCs w:val="20"/>
              </w:rPr>
              <w:t>1978</w:t>
            </w:r>
          </w:p>
        </w:tc>
        <w:tc>
          <w:tcPr>
            <w:tcW w:w="1657" w:type="dxa"/>
          </w:tcPr>
          <w:p w:rsidR="00E627E7" w:rsidRPr="00871721" w:rsidRDefault="00E627E7" w:rsidP="00E02D6F">
            <w:pPr>
              <w:jc w:val="center"/>
              <w:rPr>
                <w:sz w:val="20"/>
                <w:szCs w:val="20"/>
              </w:rPr>
            </w:pPr>
            <w:r>
              <w:rPr>
                <w:sz w:val="20"/>
                <w:szCs w:val="20"/>
              </w:rPr>
              <w:t>22 de julio de 2024</w:t>
            </w:r>
          </w:p>
        </w:tc>
        <w:tc>
          <w:tcPr>
            <w:tcW w:w="1127" w:type="dxa"/>
          </w:tcPr>
          <w:p w:rsidR="00E627E7" w:rsidRPr="00871721" w:rsidRDefault="00E627E7" w:rsidP="00E02D6F">
            <w:pPr>
              <w:jc w:val="center"/>
              <w:rPr>
                <w:sz w:val="20"/>
                <w:szCs w:val="20"/>
              </w:rPr>
            </w:pPr>
            <w:r>
              <w:rPr>
                <w:sz w:val="20"/>
                <w:szCs w:val="20"/>
              </w:rPr>
              <w:t>1 mes</w:t>
            </w:r>
          </w:p>
        </w:tc>
        <w:tc>
          <w:tcPr>
            <w:tcW w:w="1392" w:type="dxa"/>
          </w:tcPr>
          <w:p w:rsidR="00E627E7" w:rsidRPr="00871721" w:rsidRDefault="00E627E7" w:rsidP="00E02D6F">
            <w:pPr>
              <w:jc w:val="center"/>
              <w:rPr>
                <w:sz w:val="20"/>
                <w:szCs w:val="20"/>
              </w:rPr>
            </w:pPr>
            <w:r w:rsidRPr="00871721">
              <w:rPr>
                <w:sz w:val="20"/>
                <w:szCs w:val="20"/>
              </w:rPr>
              <w:t xml:space="preserve">No ostenta poder en </w:t>
            </w:r>
            <w:proofErr w:type="spellStart"/>
            <w:r w:rsidRPr="00871721">
              <w:rPr>
                <w:sz w:val="20"/>
                <w:szCs w:val="20"/>
              </w:rPr>
              <w:t>Holcim</w:t>
            </w:r>
            <w:proofErr w:type="spellEnd"/>
            <w:r w:rsidRPr="00871721">
              <w:rPr>
                <w:sz w:val="20"/>
                <w:szCs w:val="20"/>
              </w:rPr>
              <w:t xml:space="preserve"> Costa Rica</w:t>
            </w:r>
          </w:p>
          <w:p w:rsidR="00E627E7" w:rsidRPr="00871721" w:rsidRDefault="00E627E7" w:rsidP="00E02D6F">
            <w:pPr>
              <w:jc w:val="center"/>
              <w:rPr>
                <w:sz w:val="20"/>
                <w:szCs w:val="20"/>
              </w:rPr>
            </w:pPr>
          </w:p>
        </w:tc>
      </w:tr>
      <w:tr w:rsidR="00E627E7" w:rsidRPr="00871721" w:rsidTr="00E02D6F">
        <w:trPr>
          <w:trHeight w:val="469"/>
        </w:trPr>
        <w:tc>
          <w:tcPr>
            <w:tcW w:w="1392" w:type="dxa"/>
          </w:tcPr>
          <w:p w:rsidR="00E627E7" w:rsidRPr="00871721" w:rsidRDefault="00E627E7" w:rsidP="00E02D6F">
            <w:pPr>
              <w:rPr>
                <w:sz w:val="20"/>
                <w:szCs w:val="20"/>
              </w:rPr>
            </w:pPr>
            <w:r w:rsidRPr="00871721">
              <w:rPr>
                <w:sz w:val="20"/>
                <w:szCs w:val="20"/>
              </w:rPr>
              <w:t>Dolly Janeth Urrego</w:t>
            </w:r>
          </w:p>
        </w:tc>
        <w:tc>
          <w:tcPr>
            <w:tcW w:w="1392" w:type="dxa"/>
          </w:tcPr>
          <w:p w:rsidR="00E627E7" w:rsidRPr="00871721" w:rsidRDefault="00E627E7" w:rsidP="00E02D6F">
            <w:pPr>
              <w:rPr>
                <w:sz w:val="20"/>
                <w:szCs w:val="20"/>
              </w:rPr>
            </w:pPr>
            <w:r w:rsidRPr="00871721">
              <w:rPr>
                <w:sz w:val="20"/>
                <w:szCs w:val="20"/>
              </w:rPr>
              <w:t xml:space="preserve">Directora Financiera </w:t>
            </w:r>
          </w:p>
        </w:tc>
        <w:tc>
          <w:tcPr>
            <w:tcW w:w="1392" w:type="dxa"/>
          </w:tcPr>
          <w:p w:rsidR="00E627E7" w:rsidRPr="00871721" w:rsidRDefault="00E627E7" w:rsidP="00E02D6F">
            <w:pPr>
              <w:rPr>
                <w:sz w:val="20"/>
                <w:szCs w:val="20"/>
              </w:rPr>
            </w:pPr>
            <w:r w:rsidRPr="00871721">
              <w:rPr>
                <w:sz w:val="20"/>
                <w:szCs w:val="20"/>
              </w:rPr>
              <w:t>Colombiana</w:t>
            </w:r>
          </w:p>
        </w:tc>
        <w:tc>
          <w:tcPr>
            <w:tcW w:w="1392" w:type="dxa"/>
          </w:tcPr>
          <w:p w:rsidR="00E627E7" w:rsidRPr="00871721" w:rsidRDefault="00E627E7" w:rsidP="00E02D6F">
            <w:pPr>
              <w:jc w:val="center"/>
              <w:rPr>
                <w:sz w:val="20"/>
                <w:szCs w:val="20"/>
              </w:rPr>
            </w:pPr>
            <w:r w:rsidRPr="00871721">
              <w:rPr>
                <w:sz w:val="20"/>
                <w:szCs w:val="20"/>
              </w:rPr>
              <w:t>1973</w:t>
            </w:r>
          </w:p>
        </w:tc>
        <w:tc>
          <w:tcPr>
            <w:tcW w:w="1657" w:type="dxa"/>
          </w:tcPr>
          <w:p w:rsidR="00E627E7" w:rsidRPr="00871721" w:rsidRDefault="00E627E7" w:rsidP="00E02D6F">
            <w:pPr>
              <w:jc w:val="center"/>
              <w:rPr>
                <w:sz w:val="20"/>
                <w:szCs w:val="20"/>
              </w:rPr>
            </w:pPr>
            <w:r w:rsidRPr="00871721">
              <w:rPr>
                <w:sz w:val="20"/>
                <w:szCs w:val="20"/>
              </w:rPr>
              <w:t>10 Mayo 2021</w:t>
            </w:r>
          </w:p>
        </w:tc>
        <w:tc>
          <w:tcPr>
            <w:tcW w:w="1127" w:type="dxa"/>
          </w:tcPr>
          <w:p w:rsidR="00E627E7" w:rsidRPr="00871721" w:rsidRDefault="00E627E7" w:rsidP="00E02D6F">
            <w:pPr>
              <w:jc w:val="center"/>
              <w:rPr>
                <w:sz w:val="20"/>
                <w:szCs w:val="20"/>
              </w:rPr>
            </w:pPr>
            <w:r w:rsidRPr="00871721">
              <w:rPr>
                <w:sz w:val="20"/>
                <w:szCs w:val="20"/>
              </w:rPr>
              <w:t>35 meses</w:t>
            </w:r>
          </w:p>
        </w:tc>
        <w:tc>
          <w:tcPr>
            <w:tcW w:w="1392" w:type="dxa"/>
          </w:tcPr>
          <w:p w:rsidR="00E627E7" w:rsidRPr="00871721" w:rsidRDefault="00E627E7" w:rsidP="00E02D6F">
            <w:pPr>
              <w:jc w:val="center"/>
              <w:rPr>
                <w:sz w:val="20"/>
                <w:szCs w:val="20"/>
              </w:rPr>
            </w:pPr>
            <w:r>
              <w:rPr>
                <w:sz w:val="20"/>
                <w:szCs w:val="20"/>
              </w:rPr>
              <w:t>Poder Generalísimo</w:t>
            </w:r>
          </w:p>
        </w:tc>
      </w:tr>
    </w:tbl>
    <w:p w:rsidR="00E627E7" w:rsidRPr="00871721" w:rsidRDefault="00E627E7" w:rsidP="00E627E7">
      <w:pPr>
        <w:jc w:val="both"/>
      </w:pPr>
    </w:p>
    <w:p w:rsidR="00E627E7" w:rsidRPr="00871721" w:rsidRDefault="00E627E7" w:rsidP="00E627E7">
      <w:pPr>
        <w:jc w:val="both"/>
      </w:pPr>
    </w:p>
    <w:p w:rsidR="00E627E7" w:rsidRPr="00871721" w:rsidRDefault="00E627E7" w:rsidP="00E627E7">
      <w:pPr>
        <w:jc w:val="both"/>
      </w:pPr>
    </w:p>
    <w:p w:rsidR="00E627E7" w:rsidRPr="00871721" w:rsidRDefault="00E627E7" w:rsidP="00E627E7">
      <w:pPr>
        <w:jc w:val="both"/>
      </w:pPr>
      <w:r w:rsidRPr="00871721">
        <w:t>De igual manera, se destaca que no hay relación de parentesco entre los miembros de la Junta Directiva y el personal gerencial, tampoco tienen una fecha de vencimiento determinada.</w:t>
      </w:r>
    </w:p>
    <w:p w:rsidR="00E627E7" w:rsidRPr="00871721" w:rsidRDefault="00E627E7" w:rsidP="00E627E7">
      <w:pPr>
        <w:jc w:val="both"/>
      </w:pPr>
    </w:p>
    <w:p w:rsidR="00E627E7" w:rsidRPr="00871721" w:rsidRDefault="00E627E7" w:rsidP="00E627E7">
      <w:pPr>
        <w:jc w:val="both"/>
      </w:pPr>
    </w:p>
    <w:p w:rsidR="00E627E7" w:rsidRPr="00871721" w:rsidRDefault="00E627E7" w:rsidP="00E627E7">
      <w:pPr>
        <w:jc w:val="both"/>
      </w:pPr>
    </w:p>
    <w:p w:rsidR="00E627E7" w:rsidRPr="00871721" w:rsidRDefault="00E627E7" w:rsidP="00E627E7">
      <w:pPr>
        <w:jc w:val="both"/>
        <w:rPr>
          <w:sz w:val="24"/>
          <w:szCs w:val="24"/>
        </w:rPr>
      </w:pPr>
      <w:r w:rsidRPr="00871721">
        <w:rPr>
          <w:b/>
          <w:sz w:val="24"/>
          <w:szCs w:val="24"/>
        </w:rPr>
        <w:t>Funciones de la Junta Directiva (Consejo de Administración), según Estatuto Social</w:t>
      </w:r>
      <w:r w:rsidRPr="00871721">
        <w:rPr>
          <w:sz w:val="24"/>
          <w:szCs w:val="24"/>
        </w:rPr>
        <w:t xml:space="preserve"> </w:t>
      </w:r>
    </w:p>
    <w:p w:rsidR="00E627E7" w:rsidRPr="00871721" w:rsidRDefault="00E627E7" w:rsidP="00E627E7">
      <w:pPr>
        <w:jc w:val="both"/>
      </w:pPr>
    </w:p>
    <w:p w:rsidR="00E627E7" w:rsidRPr="00871721" w:rsidRDefault="00E627E7" w:rsidP="00E627E7">
      <w:pPr>
        <w:jc w:val="both"/>
      </w:pPr>
      <w:r w:rsidRPr="00871721">
        <w:t xml:space="preserve">De acuerdo con el Estatuto Social, son atribuciones y deberes de la Junta Directiva: </w:t>
      </w:r>
    </w:p>
    <w:p w:rsidR="00E627E7" w:rsidRPr="00871721" w:rsidRDefault="00E627E7" w:rsidP="00E627E7">
      <w:pPr>
        <w:jc w:val="both"/>
      </w:pPr>
    </w:p>
    <w:p w:rsidR="00E627E7" w:rsidRPr="00871721" w:rsidRDefault="00E627E7" w:rsidP="00E627E7">
      <w:pPr>
        <w:numPr>
          <w:ilvl w:val="0"/>
          <w:numId w:val="1"/>
        </w:numPr>
        <w:jc w:val="both"/>
      </w:pPr>
      <w:r w:rsidRPr="00871721">
        <w:t>Llenar o proveer provisionalmente hasta la próxima Asamblea de Accionistas, las vacantes que ocurran en el Consejo de Administración, por medio de nombramiento que hará el Consejo de Administración.</w:t>
      </w:r>
    </w:p>
    <w:p w:rsidR="00E627E7" w:rsidRPr="00871721" w:rsidRDefault="00E627E7" w:rsidP="00E627E7">
      <w:pPr>
        <w:numPr>
          <w:ilvl w:val="0"/>
          <w:numId w:val="1"/>
        </w:numPr>
        <w:jc w:val="both"/>
      </w:pPr>
      <w:r w:rsidRPr="00871721">
        <w:t>Organizar los negocios sociales y fijar las líneas generales en que deban llevarse a cabo.</w:t>
      </w:r>
    </w:p>
    <w:p w:rsidR="00E627E7" w:rsidRPr="00871721" w:rsidRDefault="00E627E7" w:rsidP="00E627E7">
      <w:pPr>
        <w:numPr>
          <w:ilvl w:val="0"/>
          <w:numId w:val="1"/>
        </w:numPr>
        <w:jc w:val="both"/>
      </w:pPr>
      <w:r w:rsidRPr="00871721">
        <w:t>Aprobar, modificar o fijar el Presupuesto General y fijar la remuneración que le corresponda al Vicepresidente Ejecutivo o a cualquier otro funcionario de similar jerarquía administrativa.</w:t>
      </w:r>
    </w:p>
    <w:p w:rsidR="00E627E7" w:rsidRPr="00871721" w:rsidRDefault="00E627E7" w:rsidP="00E627E7">
      <w:pPr>
        <w:numPr>
          <w:ilvl w:val="0"/>
          <w:numId w:val="1"/>
        </w:numPr>
        <w:jc w:val="both"/>
      </w:pPr>
      <w:r w:rsidRPr="00871721">
        <w:t>Nombrar y remover al Vicepresidente Ejecutivo, gerentes, funcionarios, apoderados o representantes con las denominaciones y facultades que se estimen adecuadas.  Tales nombramientos también podrán ser hechos por la Asamblea de accionistas, pero aún en ese caso el Consejo de Administración conservará la potestad de remover y revocarlos.</w:t>
      </w:r>
    </w:p>
    <w:p w:rsidR="00E627E7" w:rsidRPr="00871721" w:rsidRDefault="00E627E7" w:rsidP="00E627E7">
      <w:pPr>
        <w:numPr>
          <w:ilvl w:val="0"/>
          <w:numId w:val="1"/>
        </w:numPr>
        <w:jc w:val="both"/>
      </w:pPr>
      <w:r w:rsidRPr="00871721">
        <w:t>Otorgar mandatos generales.</w:t>
      </w:r>
    </w:p>
    <w:p w:rsidR="00E627E7" w:rsidRPr="00871721" w:rsidRDefault="00E627E7" w:rsidP="00E627E7">
      <w:pPr>
        <w:numPr>
          <w:ilvl w:val="0"/>
          <w:numId w:val="1"/>
        </w:numPr>
        <w:jc w:val="both"/>
      </w:pPr>
      <w:r w:rsidRPr="00871721">
        <w:t>Establecer o suprimir agencias, sucursales u oficinas.</w:t>
      </w:r>
    </w:p>
    <w:p w:rsidR="00E627E7" w:rsidRPr="00871721" w:rsidRDefault="00E627E7" w:rsidP="00E627E7">
      <w:pPr>
        <w:numPr>
          <w:ilvl w:val="0"/>
          <w:numId w:val="1"/>
        </w:numPr>
        <w:jc w:val="both"/>
      </w:pPr>
      <w:r w:rsidRPr="00871721">
        <w:t>Vigilar la marcha de la sociedad y disponer lo conveniente para el buen éxito de los asuntos sociales.</w:t>
      </w:r>
    </w:p>
    <w:p w:rsidR="00E627E7" w:rsidRPr="00871721" w:rsidRDefault="00E627E7" w:rsidP="00E627E7">
      <w:pPr>
        <w:numPr>
          <w:ilvl w:val="0"/>
          <w:numId w:val="1"/>
        </w:numPr>
        <w:jc w:val="both"/>
      </w:pPr>
      <w:r w:rsidRPr="00871721">
        <w:t>Dar la organización funcional a la empresa creando los departamentos que juzgue convenientes para la buena operación de la misma y nombrar a los jefes de aquellos.</w:t>
      </w:r>
    </w:p>
    <w:p w:rsidR="00E627E7" w:rsidRPr="00871721" w:rsidRDefault="00E627E7" w:rsidP="00E627E7">
      <w:pPr>
        <w:numPr>
          <w:ilvl w:val="0"/>
          <w:numId w:val="1"/>
        </w:numPr>
        <w:jc w:val="both"/>
      </w:pPr>
      <w:r w:rsidRPr="00871721">
        <w:t>Definir los supuestos en los que se requiere autorización para la venta, gravamen o enajenación de los bienes sociales de la compañía.</w:t>
      </w:r>
    </w:p>
    <w:p w:rsidR="00E627E7" w:rsidRPr="00871721" w:rsidRDefault="00E627E7" w:rsidP="00E627E7">
      <w:pPr>
        <w:numPr>
          <w:ilvl w:val="0"/>
          <w:numId w:val="1"/>
        </w:numPr>
        <w:jc w:val="both"/>
      </w:pPr>
      <w:r w:rsidRPr="00871721">
        <w:t>Formular la memoria de la situación social, con balance, pérdida o beneficios habidos, cuenta de dividendos, informe sobre acciones sin redimir, debiéndose previamente poner en manos del Fiscal esa documentación y piezas anexas para los reparos y observaciones que su estudio sugiera.</w:t>
      </w:r>
    </w:p>
    <w:p w:rsidR="00E627E7" w:rsidRPr="00871721" w:rsidRDefault="00E627E7" w:rsidP="00E627E7">
      <w:pPr>
        <w:numPr>
          <w:ilvl w:val="0"/>
          <w:numId w:val="1"/>
        </w:numPr>
        <w:jc w:val="both"/>
      </w:pPr>
      <w:r w:rsidRPr="00871721">
        <w:t>Elaborar y fabricar los balances en tiempo y forma.</w:t>
      </w:r>
    </w:p>
    <w:p w:rsidR="00E627E7" w:rsidRPr="00871721" w:rsidRDefault="00E627E7" w:rsidP="00E627E7">
      <w:pPr>
        <w:numPr>
          <w:ilvl w:val="0"/>
          <w:numId w:val="1"/>
        </w:numPr>
        <w:jc w:val="both"/>
      </w:pPr>
      <w:r w:rsidRPr="00871721">
        <w:t>Autorizar la participación de la compañía en otras sociedades, cualquiera que sea el objeto de éstas, así como la inscripción, adquisición, pignoración o enajenación de acciones o cuotas.</w:t>
      </w:r>
    </w:p>
    <w:p w:rsidR="00E627E7" w:rsidRPr="00871721" w:rsidRDefault="00E627E7" w:rsidP="00E627E7">
      <w:pPr>
        <w:numPr>
          <w:ilvl w:val="0"/>
          <w:numId w:val="1"/>
        </w:numPr>
        <w:jc w:val="both"/>
      </w:pPr>
      <w:r w:rsidRPr="00871721">
        <w:t>Acordar la obtención de créditos o préstamos para la realización del objeto social.</w:t>
      </w:r>
    </w:p>
    <w:p w:rsidR="00E627E7" w:rsidRPr="00871721" w:rsidRDefault="00E627E7" w:rsidP="00E627E7">
      <w:pPr>
        <w:numPr>
          <w:ilvl w:val="0"/>
          <w:numId w:val="1"/>
        </w:numPr>
        <w:jc w:val="both"/>
      </w:pPr>
      <w:r w:rsidRPr="00871721">
        <w:t>Convocar a las Asambleas de Accionistas Ordinarias y Extraordinarias.</w:t>
      </w:r>
    </w:p>
    <w:p w:rsidR="00E627E7" w:rsidRPr="00871721" w:rsidRDefault="00E627E7" w:rsidP="00E627E7">
      <w:pPr>
        <w:numPr>
          <w:ilvl w:val="0"/>
          <w:numId w:val="1"/>
        </w:numPr>
        <w:jc w:val="both"/>
      </w:pPr>
      <w:r w:rsidRPr="00871721">
        <w:t>Autorizar al Presidente o al que haga sus veces, para llevar a cabo los actos a que se refiere la cláusula Vigésima del Estatuto Social de la compañía.</w:t>
      </w:r>
    </w:p>
    <w:p w:rsidR="00E627E7" w:rsidRPr="00871721" w:rsidRDefault="00E627E7" w:rsidP="00E627E7">
      <w:pPr>
        <w:numPr>
          <w:ilvl w:val="0"/>
          <w:numId w:val="1"/>
        </w:numPr>
        <w:jc w:val="both"/>
      </w:pPr>
      <w:r w:rsidRPr="00871721">
        <w:t>Conocer las renuncias de sus miembros.</w:t>
      </w:r>
    </w:p>
    <w:p w:rsidR="00E627E7" w:rsidRPr="00871721" w:rsidRDefault="00E627E7" w:rsidP="00E627E7">
      <w:pPr>
        <w:numPr>
          <w:ilvl w:val="0"/>
          <w:numId w:val="1"/>
        </w:numPr>
        <w:jc w:val="both"/>
      </w:pPr>
      <w:r w:rsidRPr="00871721">
        <w:t>Llevar los libros de actas.</w:t>
      </w:r>
    </w:p>
    <w:p w:rsidR="00E627E7" w:rsidRDefault="00E627E7" w:rsidP="00E627E7">
      <w:pPr>
        <w:rPr>
          <w:b/>
        </w:rPr>
      </w:pPr>
    </w:p>
    <w:p w:rsidR="00E627E7" w:rsidRPr="00871721" w:rsidRDefault="00E627E7" w:rsidP="00E627E7">
      <w:pPr>
        <w:rPr>
          <w:b/>
        </w:rPr>
      </w:pPr>
    </w:p>
    <w:p w:rsidR="00E627E7" w:rsidRPr="00871721" w:rsidRDefault="00E627E7" w:rsidP="00E627E7">
      <w:pPr>
        <w:jc w:val="both"/>
        <w:rPr>
          <w:b/>
          <w:sz w:val="24"/>
          <w:szCs w:val="24"/>
        </w:rPr>
      </w:pPr>
      <w:r w:rsidRPr="00871721">
        <w:rPr>
          <w:b/>
          <w:sz w:val="24"/>
          <w:szCs w:val="24"/>
        </w:rPr>
        <w:t>Sobre las funciones adicionales del Consejo de Administración y Directivos Gerenciales</w:t>
      </w:r>
    </w:p>
    <w:p w:rsidR="00E627E7" w:rsidRPr="00871721" w:rsidRDefault="00E627E7" w:rsidP="00E627E7">
      <w:pPr>
        <w:jc w:val="both"/>
      </w:pPr>
    </w:p>
    <w:p w:rsidR="00E627E7" w:rsidRPr="00871721" w:rsidRDefault="00E627E7" w:rsidP="00E627E7">
      <w:pPr>
        <w:numPr>
          <w:ilvl w:val="0"/>
          <w:numId w:val="10"/>
        </w:numPr>
        <w:jc w:val="both"/>
      </w:pPr>
      <w:r w:rsidRPr="00871721">
        <w:t xml:space="preserve">Es la principal responsable de que se cumpla con las mejores prácticas del Código de Gobierno Corporativo adoptadas por la empresa. </w:t>
      </w:r>
    </w:p>
    <w:p w:rsidR="00E627E7" w:rsidRPr="00871721" w:rsidRDefault="00E627E7" w:rsidP="00E627E7">
      <w:pPr>
        <w:numPr>
          <w:ilvl w:val="0"/>
          <w:numId w:val="10"/>
        </w:numPr>
        <w:jc w:val="both"/>
      </w:pPr>
      <w:r w:rsidRPr="00871721">
        <w:t xml:space="preserve">Cada Director debe siempre tomar decisiones basadas en los mejores intereses de la empresa como un todo y de sus accionistas. </w:t>
      </w:r>
    </w:p>
    <w:p w:rsidR="00E627E7" w:rsidRPr="00871721" w:rsidRDefault="00E627E7" w:rsidP="00E627E7">
      <w:pPr>
        <w:numPr>
          <w:ilvl w:val="0"/>
          <w:numId w:val="10"/>
        </w:numPr>
        <w:jc w:val="both"/>
      </w:pPr>
      <w:r w:rsidRPr="00871721">
        <w:t xml:space="preserve">Los Directores deben comunicar al Presidente de la Junta cualquier situación de la que se pueda derivar un conflicto de interés y abstenerse de participar en la deliberación correspondiente. </w:t>
      </w:r>
    </w:p>
    <w:p w:rsidR="00E627E7" w:rsidRPr="00871721" w:rsidRDefault="00E627E7" w:rsidP="00E627E7">
      <w:pPr>
        <w:numPr>
          <w:ilvl w:val="0"/>
          <w:numId w:val="10"/>
        </w:numPr>
        <w:jc w:val="both"/>
      </w:pPr>
      <w:r w:rsidRPr="00871721">
        <w:t xml:space="preserve">Los Directores deben utilizar los activos o servicios de la empresa sólo para el cumplimiento del objeto social y definir políticas claras cuando se utilicen dichos activos para cuestiones personales. </w:t>
      </w:r>
    </w:p>
    <w:p w:rsidR="00E627E7" w:rsidRPr="00871721" w:rsidRDefault="00E627E7" w:rsidP="00E627E7">
      <w:pPr>
        <w:numPr>
          <w:ilvl w:val="0"/>
          <w:numId w:val="10"/>
        </w:numPr>
        <w:jc w:val="both"/>
      </w:pPr>
      <w:r w:rsidRPr="00871721">
        <w:t>El Consejo de Administración incorporará reglas que definan las obligaciones de confidencialidad, discreción y restricciones que deben cumplir los Directivos, Ejecutivos claves y asesores, en relación con el uso de la información privilegiada de la sociedad a la cual tienen acceso.</w:t>
      </w:r>
    </w:p>
    <w:p w:rsidR="00E627E7" w:rsidRPr="00871721" w:rsidRDefault="00E627E7" w:rsidP="00E627E7">
      <w:pPr>
        <w:numPr>
          <w:ilvl w:val="0"/>
          <w:numId w:val="10"/>
        </w:numPr>
        <w:jc w:val="both"/>
      </w:pPr>
      <w:r w:rsidRPr="00871721">
        <w:t xml:space="preserve">Que los Directores brinden el tiempo necesario al cargo para el que fueron nombrados. </w:t>
      </w:r>
    </w:p>
    <w:p w:rsidR="00E627E7" w:rsidRPr="00871721" w:rsidRDefault="00E627E7" w:rsidP="00E627E7">
      <w:pPr>
        <w:numPr>
          <w:ilvl w:val="0"/>
          <w:numId w:val="10"/>
        </w:numPr>
        <w:jc w:val="both"/>
      </w:pPr>
      <w:r w:rsidRPr="00871721">
        <w:t>Será responsabilidad del Presidente inducir formalmente a los nuevos Directores a efecto de que éstos conozcan tanto el negocio y el entorno en el cual se desenvuelven, como lo relativo a las mejores prácticas de Gobierno Corporativo y sus responsabilidades.</w:t>
      </w:r>
    </w:p>
    <w:p w:rsidR="00E627E7" w:rsidRPr="00871721" w:rsidRDefault="00E627E7" w:rsidP="00E627E7">
      <w:pPr>
        <w:numPr>
          <w:ilvl w:val="0"/>
          <w:numId w:val="10"/>
        </w:numPr>
        <w:jc w:val="both"/>
      </w:pPr>
      <w:r w:rsidRPr="00871721">
        <w:t>Aprobar la selección y remoción de los funcionarios de la Alta Gerencia, y de los responsables de los Órganos de Control; así como de realizar una evaluación periódica de su desempeño.</w:t>
      </w:r>
    </w:p>
    <w:p w:rsidR="00E627E7" w:rsidRPr="00871721" w:rsidRDefault="00E627E7" w:rsidP="00E627E7">
      <w:pPr>
        <w:numPr>
          <w:ilvl w:val="0"/>
          <w:numId w:val="10"/>
        </w:numPr>
        <w:jc w:val="both"/>
      </w:pPr>
      <w:r w:rsidRPr="00871721">
        <w:t>Aprobar el Apetito de Riesgo de la entidad, el cual estará a cargo de la Dirección Financiera.</w:t>
      </w:r>
    </w:p>
    <w:p w:rsidR="00E627E7" w:rsidRPr="00871721" w:rsidRDefault="00E627E7" w:rsidP="00E627E7">
      <w:pPr>
        <w:numPr>
          <w:ilvl w:val="0"/>
          <w:numId w:val="10"/>
        </w:numPr>
        <w:jc w:val="both"/>
      </w:pPr>
      <w:r w:rsidRPr="00871721">
        <w:t>Aprobar el sistema de incentivos y remuneración de la empresa, asegurando que esté alineado con la cultura y Apetito de Riesgo de la empresa.  Aprobar y dar seguimiento al cumplimiento de los objetivos estratégicos, mediante el desarrollo de un marco estratégico que defina los segmentos de negocio o actividades principales, los retornos esperados y el Apetito de Riesgo; lo cual debe ser comunicado a la organización.</w:t>
      </w:r>
    </w:p>
    <w:p w:rsidR="00E627E7" w:rsidRPr="00871721" w:rsidRDefault="00E627E7" w:rsidP="00E627E7">
      <w:pPr>
        <w:numPr>
          <w:ilvl w:val="0"/>
          <w:numId w:val="10"/>
        </w:numPr>
        <w:jc w:val="both"/>
      </w:pPr>
      <w:r w:rsidRPr="00871721">
        <w:t>Asegurar que las transacciones con partes vinculadas sean revisadas para evaluar el riesgo y están sujetas a las políticas definidas para evitar o gestionar conflictos de intereses; asimismo, que dichas transacciones son ejecutadas en condiciones iguales a las realizadas con terceros.</w:t>
      </w:r>
    </w:p>
    <w:p w:rsidR="00E627E7" w:rsidRPr="00871721" w:rsidRDefault="00E627E7" w:rsidP="00E627E7">
      <w:pPr>
        <w:numPr>
          <w:ilvl w:val="0"/>
          <w:numId w:val="10"/>
        </w:numPr>
        <w:jc w:val="both"/>
      </w:pPr>
      <w:r w:rsidRPr="00871721">
        <w:t xml:space="preserve">Aprobar las políticas para la gestión de la entidad y emitir políticas para: i) La relación con clientes, socios, asociados y otras partes interesadas.  (ii) La relación con proveedores o terceros contratados.  (iii) Las relaciones </w:t>
      </w:r>
      <w:proofErr w:type="spellStart"/>
      <w:r w:rsidRPr="00871721">
        <w:t>intra</w:t>
      </w:r>
      <w:proofErr w:type="spellEnd"/>
      <w:r w:rsidRPr="00871721">
        <w:t>-grupo.</w:t>
      </w:r>
    </w:p>
    <w:p w:rsidR="00E627E7" w:rsidRPr="00871721" w:rsidRDefault="00E627E7" w:rsidP="00E627E7">
      <w:pPr>
        <w:numPr>
          <w:ilvl w:val="0"/>
          <w:numId w:val="10"/>
        </w:numPr>
        <w:jc w:val="both"/>
      </w:pPr>
      <w:r w:rsidRPr="00871721">
        <w:t>Aprobar y supervisar la implementación de procesos de autoevaluación de riesgos de la entidad, las políticas de cumplimiento y el sistema de control interno.</w:t>
      </w:r>
    </w:p>
    <w:p w:rsidR="00E627E7" w:rsidRPr="00871721" w:rsidRDefault="00E627E7" w:rsidP="00E627E7">
      <w:pPr>
        <w:numPr>
          <w:ilvl w:val="0"/>
          <w:numId w:val="10"/>
        </w:numPr>
        <w:jc w:val="both"/>
      </w:pPr>
      <w:r w:rsidRPr="00871721">
        <w:t>Comunicar al supervisor los cambios relevantes en su plan estratégico, en la estructura de propiedad de la entidad y las operaciones con partes vinculadas, en el plazo establecido en normas específicas, o en su defecto, en un plazo no mayor a tres (3) días hábiles posteriores al cambio, pudiendo delegar la comunicación en el Vicepresidente Ejecutivo o cargo similar afín.</w:t>
      </w:r>
    </w:p>
    <w:p w:rsidR="00E627E7" w:rsidRPr="00871721" w:rsidRDefault="00E627E7" w:rsidP="00E627E7">
      <w:pPr>
        <w:numPr>
          <w:ilvl w:val="0"/>
          <w:numId w:val="10"/>
        </w:numPr>
        <w:jc w:val="both"/>
      </w:pPr>
      <w:r w:rsidRPr="00871721">
        <w:t>Realizar un seguimiento periódico de las recomendaciones que emitan el supervisor, los auditores internos o equivalentes y externos, por medio del Comité de Auditoría.</w:t>
      </w:r>
    </w:p>
    <w:p w:rsidR="00E627E7" w:rsidRPr="00871721" w:rsidRDefault="00E627E7" w:rsidP="00E627E7">
      <w:pPr>
        <w:numPr>
          <w:ilvl w:val="0"/>
          <w:numId w:val="10"/>
        </w:numPr>
        <w:jc w:val="both"/>
      </w:pPr>
      <w:r w:rsidRPr="00871721">
        <w:t>Actuar de manera oportuna y proactiva ante las observaciones y requerimientos del supervisor y de los Órganos de Control, promoviendo esta cultura en toda la organización.</w:t>
      </w:r>
    </w:p>
    <w:p w:rsidR="00E627E7" w:rsidRPr="00871721" w:rsidRDefault="00E627E7" w:rsidP="00E627E7">
      <w:pPr>
        <w:numPr>
          <w:ilvl w:val="0"/>
          <w:numId w:val="10"/>
        </w:numPr>
        <w:jc w:val="both"/>
      </w:pPr>
      <w:r w:rsidRPr="00871721">
        <w:t>Aprobar planes de contingencia y de continuidad del negocio, incluyendo tecnologías de información, que aseguran su capacidad operativa y que reducen o limitan las pérdidas en caso de una interrupción de sus operaciones.</w:t>
      </w:r>
    </w:p>
    <w:p w:rsidR="00E627E7" w:rsidRPr="00871721" w:rsidRDefault="00E627E7" w:rsidP="00E627E7">
      <w:pPr>
        <w:jc w:val="both"/>
      </w:pPr>
    </w:p>
    <w:p w:rsidR="00E627E7" w:rsidRPr="00871721" w:rsidRDefault="00E627E7" w:rsidP="00E627E7">
      <w:pPr>
        <w:jc w:val="both"/>
      </w:pPr>
      <w:bookmarkStart w:id="14" w:name="_35nkun2" w:colFirst="0" w:colLast="0"/>
      <w:bookmarkEnd w:id="14"/>
      <w:r w:rsidRPr="00871721">
        <w:t xml:space="preserve">Por otra parte, de acuerdo a lo establecido en el Código Gobierno Corporativo </w:t>
      </w:r>
      <w:proofErr w:type="spellStart"/>
      <w:r w:rsidRPr="00871721">
        <w:t>Holcim</w:t>
      </w:r>
      <w:proofErr w:type="spellEnd"/>
      <w:r w:rsidRPr="00871721">
        <w:t xml:space="preserve"> (Costa Rica) S. A., deberá ser reportada previamente a la Junta Directiva toda transacción de compra, venta, hipoteca o prenda de activos que se tramite entre </w:t>
      </w:r>
      <w:proofErr w:type="spellStart"/>
      <w:r w:rsidRPr="00871721">
        <w:t>Holcim</w:t>
      </w:r>
      <w:proofErr w:type="spellEnd"/>
      <w:r w:rsidRPr="00871721">
        <w:t xml:space="preserve"> y el Gerente General, con partes relacionadas de los miembros de la Junta Directiva y/o con familiares hasta cuarto grado de consanguinidad o afinidad del Gerente General o de algún miembro de la Junta Directiva. </w:t>
      </w:r>
    </w:p>
    <w:p w:rsidR="00E627E7" w:rsidRPr="00871721" w:rsidRDefault="00E627E7" w:rsidP="00E627E7">
      <w:pPr>
        <w:jc w:val="both"/>
      </w:pPr>
    </w:p>
    <w:p w:rsidR="00E627E7" w:rsidRPr="00871721" w:rsidRDefault="00E627E7" w:rsidP="00E627E7">
      <w:pPr>
        <w:jc w:val="both"/>
      </w:pPr>
      <w:r w:rsidRPr="00871721">
        <w:t xml:space="preserve">El reporte deberá ser realizado por quién esté involucrado en la transacción y deberá contener toda la información relevante.  Adicionalmente, el involucrado deberá inhibirse de la toma de cualquier decisión relacionada con este asunto y deberá suministrar cualquier información adicional que la Junta Directiva requiera sobre la transacción.  Por partes relacionadas deberá entenderse: </w:t>
      </w:r>
    </w:p>
    <w:p w:rsidR="00E627E7" w:rsidRPr="00871721" w:rsidRDefault="00E627E7" w:rsidP="00E627E7">
      <w:pPr>
        <w:jc w:val="both"/>
      </w:pPr>
    </w:p>
    <w:p w:rsidR="00E627E7" w:rsidRPr="00871721" w:rsidRDefault="00E627E7" w:rsidP="00E627E7">
      <w:pPr>
        <w:numPr>
          <w:ilvl w:val="0"/>
          <w:numId w:val="3"/>
        </w:numPr>
        <w:pBdr>
          <w:top w:val="nil"/>
          <w:left w:val="nil"/>
          <w:bottom w:val="nil"/>
          <w:right w:val="nil"/>
          <w:between w:val="nil"/>
        </w:pBdr>
        <w:jc w:val="both"/>
        <w:rPr>
          <w:color w:val="000000"/>
        </w:rPr>
      </w:pPr>
      <w:r w:rsidRPr="00871721">
        <w:rPr>
          <w:color w:val="000000"/>
        </w:rPr>
        <w:t xml:space="preserve">Los familiares hasta tercer grado de consanguinidad o afinidad del Gerente General o del miembro de la Junta Directiva involucrado en la transacción. </w:t>
      </w:r>
    </w:p>
    <w:p w:rsidR="00E627E7" w:rsidRPr="00871721" w:rsidRDefault="00E627E7" w:rsidP="00E627E7">
      <w:pPr>
        <w:jc w:val="both"/>
        <w:rPr>
          <w:sz w:val="24"/>
          <w:szCs w:val="24"/>
        </w:rPr>
      </w:pPr>
    </w:p>
    <w:p w:rsidR="00E627E7" w:rsidRPr="00871721" w:rsidRDefault="00E627E7" w:rsidP="00E627E7">
      <w:pPr>
        <w:numPr>
          <w:ilvl w:val="0"/>
          <w:numId w:val="3"/>
        </w:numPr>
        <w:pBdr>
          <w:top w:val="nil"/>
          <w:left w:val="nil"/>
          <w:bottom w:val="nil"/>
          <w:right w:val="nil"/>
          <w:between w:val="nil"/>
        </w:pBdr>
        <w:jc w:val="both"/>
        <w:rPr>
          <w:color w:val="000000"/>
        </w:rPr>
      </w:pPr>
      <w:r w:rsidRPr="00871721">
        <w:rPr>
          <w:color w:val="000000"/>
        </w:rPr>
        <w:t xml:space="preserve">Cualquier entidad jurídica en la cual el Gerente General o el miembro de la Junta Directiva involucrado o los familiares de éstos, hasta tercer grado de consanguinidad o afinidad, tengan participación o sea miembro de su Junta Directiva o cualquier otro órgano similar. </w:t>
      </w:r>
    </w:p>
    <w:p w:rsidR="00E627E7" w:rsidRPr="00871721" w:rsidRDefault="00E627E7" w:rsidP="00E627E7">
      <w:pPr>
        <w:jc w:val="both"/>
      </w:pPr>
    </w:p>
    <w:p w:rsidR="00E627E7" w:rsidRPr="00871721" w:rsidRDefault="00E627E7" w:rsidP="00E627E7">
      <w:pPr>
        <w:jc w:val="both"/>
      </w:pPr>
      <w:r w:rsidRPr="00871721">
        <w:t xml:space="preserve">En este mismo sentido, la Junta Directiva deberá aprobar previamente y deberá quedar consignado en actas, la ejecución de la compra, venta, hipoteca o prenda de los activos de </w:t>
      </w:r>
      <w:proofErr w:type="spellStart"/>
      <w:r w:rsidRPr="00871721">
        <w:t>Holcim</w:t>
      </w:r>
      <w:proofErr w:type="spellEnd"/>
      <w:r w:rsidRPr="00871721">
        <w:t xml:space="preserve"> que representen un 10% o más de los activos totales de la empresa.  Para determinar este porcentaje, deberán considerarse los activos totales al cierre trimestral anterior a la transacción de acuerdo con los estados financieros presentados a la Superintendencia General de Valores. </w:t>
      </w:r>
    </w:p>
    <w:p w:rsidR="00E627E7" w:rsidRPr="00871721" w:rsidRDefault="00E627E7" w:rsidP="00E627E7">
      <w:pPr>
        <w:jc w:val="both"/>
      </w:pPr>
    </w:p>
    <w:p w:rsidR="00E627E7" w:rsidRPr="00871721" w:rsidRDefault="00E627E7" w:rsidP="00E627E7">
      <w:pPr>
        <w:jc w:val="both"/>
      </w:pPr>
      <w:r w:rsidRPr="00871721">
        <w:t xml:space="preserve">Las transacciones indicadas en este artículo, serán comunicadas mediante Hecho Relevante y divulgadas en el Informe Anual de Gobierno Corporativo. </w:t>
      </w:r>
    </w:p>
    <w:p w:rsidR="00E627E7" w:rsidRPr="00871721" w:rsidRDefault="00E627E7" w:rsidP="00E627E7"/>
    <w:p w:rsidR="00E627E7" w:rsidRPr="00871721" w:rsidRDefault="00E627E7" w:rsidP="00E627E7">
      <w:pPr>
        <w:jc w:val="both"/>
      </w:pPr>
      <w:r w:rsidRPr="00871721">
        <w:t xml:space="preserve">Adicionalmente, las dietas de la Junta Directiva son aprobadas cada 2 años por la Asamblea de Socios.  </w:t>
      </w:r>
    </w:p>
    <w:p w:rsidR="00E627E7" w:rsidRPr="00871721" w:rsidRDefault="00E627E7" w:rsidP="00E627E7">
      <w:pPr>
        <w:jc w:val="both"/>
      </w:pPr>
    </w:p>
    <w:p w:rsidR="00E627E7" w:rsidRPr="00871721" w:rsidRDefault="00E627E7" w:rsidP="00E627E7">
      <w:pPr>
        <w:jc w:val="both"/>
      </w:pPr>
    </w:p>
    <w:p w:rsidR="00E627E7" w:rsidRPr="00871721" w:rsidRDefault="00E627E7" w:rsidP="00E627E7">
      <w:pPr>
        <w:jc w:val="both"/>
        <w:rPr>
          <w:b/>
          <w:sz w:val="24"/>
          <w:szCs w:val="24"/>
        </w:rPr>
      </w:pPr>
      <w:r w:rsidRPr="00871721">
        <w:rPr>
          <w:b/>
          <w:sz w:val="24"/>
          <w:szCs w:val="24"/>
        </w:rPr>
        <w:t>Políticas generales de compensación de los directores y personal gerencial (únicamente para los emisores accionarios)</w:t>
      </w:r>
    </w:p>
    <w:p w:rsidR="00E627E7" w:rsidRPr="00871721" w:rsidRDefault="00E627E7" w:rsidP="00E627E7"/>
    <w:p w:rsidR="00E627E7" w:rsidRPr="00871721" w:rsidRDefault="00E627E7" w:rsidP="00E627E7">
      <w:pPr>
        <w:jc w:val="both"/>
      </w:pPr>
      <w:proofErr w:type="spellStart"/>
      <w:r w:rsidRPr="00871721">
        <w:t>Holcim</w:t>
      </w:r>
      <w:proofErr w:type="spellEnd"/>
      <w:r w:rsidRPr="00871721">
        <w:t xml:space="preserve"> cuenta con un Departamento de Compensación y Beneficios que se encarga de verificar que los importes pagados a los miembros del Comité Ejecutivo sean justos, no sean excesivos y reflejan el tiempo que dedican a la empresa y se encuentren acorde a sus responsabilidades.  Anualmente, además, este departamento realiza una revisión de los salarios y beneficios. </w:t>
      </w:r>
    </w:p>
    <w:p w:rsidR="00E627E7" w:rsidRPr="00871721" w:rsidRDefault="00E627E7" w:rsidP="00E627E7"/>
    <w:p w:rsidR="00E627E7" w:rsidRPr="00871721" w:rsidRDefault="00E627E7" w:rsidP="00E627E7">
      <w:pPr>
        <w:jc w:val="both"/>
      </w:pPr>
      <w:r w:rsidRPr="00871721">
        <w:t>De igual forma, la empresa no cuenta con una política especial de otorgar derechos de suscripción preferente de valores de la empresa o de adquisición de valores a precios especiales o en carácter de bonificación para su personal.</w:t>
      </w:r>
    </w:p>
    <w:p w:rsidR="00E627E7" w:rsidRPr="00871721" w:rsidRDefault="00E627E7" w:rsidP="00E627E7">
      <w:pPr>
        <w:jc w:val="both"/>
      </w:pPr>
    </w:p>
    <w:p w:rsidR="00E627E7" w:rsidRPr="00871721" w:rsidRDefault="00E627E7" w:rsidP="00E627E7">
      <w:pPr>
        <w:jc w:val="both"/>
      </w:pPr>
      <w:r w:rsidRPr="00871721">
        <w:t>Las políticas de compensación se han establecido conforme a los diferentes niveles de la estructura organizacional.  A nivel de Junta Directiva, se tiene establecido un sistema de dietas únicamente, cuyo monto es aprobado en moneda de curso legal de la República de Costa Rica, sea el colón, por la Asamblea General de Socios y que es pagado en 2 tractos (junio y diciembre).  Por ostentar la representación Judicial y Extrajudicial de la empresa, el monto del Presidente es el doble del monto que reciben los demás miembros de la Junta Directiva y el Fiscal.  En lo que corresponde al nivel Gerencial, el plan general de remuneración establece un esquema compuesto principalmente de salario base, 13avo. salario, seguro médico y de vida y gratificación anual en efectivo por el logro de objetivos.</w:t>
      </w:r>
    </w:p>
    <w:p w:rsidR="00E627E7" w:rsidRDefault="00E627E7" w:rsidP="00E627E7">
      <w:pPr>
        <w:jc w:val="both"/>
      </w:pPr>
    </w:p>
    <w:p w:rsidR="00E627E7" w:rsidRDefault="00E627E7" w:rsidP="00E627E7">
      <w:pPr>
        <w:jc w:val="both"/>
      </w:pPr>
    </w:p>
    <w:p w:rsidR="00E627E7" w:rsidRDefault="00E627E7" w:rsidP="00E627E7">
      <w:pPr>
        <w:jc w:val="both"/>
      </w:pPr>
    </w:p>
    <w:p w:rsidR="00E627E7" w:rsidRDefault="00E627E7" w:rsidP="00E627E7">
      <w:pPr>
        <w:jc w:val="both"/>
      </w:pPr>
    </w:p>
    <w:p w:rsidR="00E627E7" w:rsidRDefault="00E627E7" w:rsidP="00E627E7">
      <w:pPr>
        <w:jc w:val="both"/>
      </w:pPr>
    </w:p>
    <w:p w:rsidR="00E627E7" w:rsidRPr="00871721" w:rsidRDefault="00E627E7" w:rsidP="00E627E7">
      <w:pPr>
        <w:jc w:val="both"/>
      </w:pPr>
    </w:p>
    <w:p w:rsidR="00E627E7" w:rsidRPr="00871721" w:rsidRDefault="00E627E7" w:rsidP="00E627E7">
      <w:pPr>
        <w:jc w:val="both"/>
        <w:rPr>
          <w:b/>
          <w:sz w:val="24"/>
          <w:szCs w:val="24"/>
        </w:rPr>
      </w:pPr>
      <w:bookmarkStart w:id="15" w:name="_1ksv4uv" w:colFirst="0" w:colLast="0"/>
      <w:bookmarkEnd w:id="15"/>
      <w:r w:rsidRPr="00871721">
        <w:rPr>
          <w:b/>
          <w:sz w:val="24"/>
          <w:szCs w:val="24"/>
        </w:rPr>
        <w:t>Prácticas de selección de la Junta Directiva</w:t>
      </w:r>
    </w:p>
    <w:p w:rsidR="00E627E7" w:rsidRPr="00871721" w:rsidRDefault="00E627E7" w:rsidP="00E627E7">
      <w:pPr>
        <w:jc w:val="both"/>
        <w:rPr>
          <w:sz w:val="24"/>
          <w:szCs w:val="24"/>
        </w:rPr>
      </w:pPr>
    </w:p>
    <w:p w:rsidR="00E627E7" w:rsidRPr="00871721" w:rsidRDefault="00E627E7" w:rsidP="00E627E7">
      <w:pPr>
        <w:jc w:val="both"/>
      </w:pPr>
      <w:r w:rsidRPr="00871721">
        <w:t xml:space="preserve">De acuerdo con el Estatuto Social de </w:t>
      </w:r>
      <w:proofErr w:type="spellStart"/>
      <w:r w:rsidRPr="00871721">
        <w:t>Holcim</w:t>
      </w:r>
      <w:proofErr w:type="spellEnd"/>
      <w:r w:rsidRPr="00871721">
        <w:t xml:space="preserve"> el plazo de los cargos de la Junta Directiva es de dos (2) años, pudiendo ser reelectos.  Vencido el plazo de nombramiento y si no se hubiera reunido una Asamblea General Ordinaria de Accionistas para hacer la nueva elección de miembros, los que estén fungiendo continuarán en el ejercicio de sus cargos hasta que se reúna la Asamblea General que deberá efectuar los nuevos nombramientos o elecciones.</w:t>
      </w:r>
    </w:p>
    <w:p w:rsidR="00E627E7" w:rsidRPr="00871721" w:rsidRDefault="00E627E7" w:rsidP="00E627E7">
      <w:pPr>
        <w:jc w:val="both"/>
      </w:pPr>
    </w:p>
    <w:p w:rsidR="00E627E7" w:rsidRPr="00871721" w:rsidRDefault="00E627E7" w:rsidP="00E627E7">
      <w:pPr>
        <w:jc w:val="both"/>
      </w:pPr>
      <w:r w:rsidRPr="00871721">
        <w:t>De igual manera, no se tiene nada establecido en relación con la adquisición de beneficios en el evento de terminación del período por parte de algún miembro de la Junta Directiva.</w:t>
      </w:r>
    </w:p>
    <w:p w:rsidR="00E627E7" w:rsidRPr="00871721" w:rsidRDefault="00E627E7" w:rsidP="00E627E7">
      <w:pPr>
        <w:jc w:val="both"/>
      </w:pPr>
    </w:p>
    <w:p w:rsidR="00E627E7" w:rsidRPr="00871721" w:rsidRDefault="00E627E7" w:rsidP="00E627E7">
      <w:pPr>
        <w:jc w:val="both"/>
      </w:pPr>
    </w:p>
    <w:p w:rsidR="00E627E7" w:rsidRPr="00871721" w:rsidRDefault="00E627E7" w:rsidP="00E627E7">
      <w:pPr>
        <w:jc w:val="both"/>
        <w:rPr>
          <w:b/>
          <w:sz w:val="24"/>
          <w:szCs w:val="24"/>
        </w:rPr>
      </w:pPr>
      <w:r w:rsidRPr="00871721">
        <w:rPr>
          <w:b/>
          <w:sz w:val="24"/>
          <w:szCs w:val="24"/>
        </w:rPr>
        <w:t>Personal</w:t>
      </w:r>
    </w:p>
    <w:p w:rsidR="00E627E7" w:rsidRPr="00871721" w:rsidRDefault="00E627E7" w:rsidP="00E627E7">
      <w:pPr>
        <w:jc w:val="both"/>
      </w:pPr>
    </w:p>
    <w:p w:rsidR="00E627E7" w:rsidRPr="00871721" w:rsidRDefault="00E627E7" w:rsidP="00E627E7">
      <w:pPr>
        <w:jc w:val="both"/>
      </w:pPr>
      <w:r w:rsidRPr="00871721">
        <w:t>El Grupo continúa, buscando la excelencia en sus recursos humanos como el factor clave que la ha proyectado en forma importante ante el mercado de la construcción en Costa Rica.  A través de capacitación y desarrollo, hemos logrado la calidad del personal, sin duda el pilar más sólido sobre el que se fundamenta el éxito de la Corporación.  El personal de la empresa y sus subsidiarias en Costa Rica está conformado de la siguiente manera al 31/12/2023:</w:t>
      </w:r>
    </w:p>
    <w:p w:rsidR="00E627E7" w:rsidRPr="00871721" w:rsidRDefault="00E627E7" w:rsidP="00E627E7">
      <w:pPr>
        <w:jc w:val="both"/>
      </w:pPr>
    </w:p>
    <w:p w:rsidR="00E627E7" w:rsidRPr="00871721" w:rsidRDefault="00E627E7" w:rsidP="00E627E7">
      <w:pPr>
        <w:jc w:val="both"/>
        <w:rPr>
          <w:sz w:val="20"/>
          <w:szCs w:val="20"/>
        </w:rPr>
      </w:pPr>
    </w:p>
    <w:tbl>
      <w:tblPr>
        <w:tblW w:w="9120" w:type="dxa"/>
        <w:tblLayout w:type="fixed"/>
        <w:tblLook w:val="0400" w:firstRow="0" w:lastRow="0" w:firstColumn="0" w:lastColumn="0" w:noHBand="0" w:noVBand="1"/>
      </w:tblPr>
      <w:tblGrid>
        <w:gridCol w:w="3040"/>
        <w:gridCol w:w="4880"/>
        <w:gridCol w:w="1200"/>
      </w:tblGrid>
      <w:tr w:rsidR="00E627E7" w:rsidRPr="00871721" w:rsidTr="00E02D6F">
        <w:trPr>
          <w:trHeight w:val="405"/>
        </w:trPr>
        <w:tc>
          <w:tcPr>
            <w:tcW w:w="30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E627E7" w:rsidRPr="00871721" w:rsidRDefault="00E627E7" w:rsidP="00E02D6F">
            <w:pPr>
              <w:jc w:val="center"/>
              <w:rPr>
                <w:b/>
                <w:color w:val="000000"/>
                <w:sz w:val="20"/>
                <w:szCs w:val="20"/>
              </w:rPr>
            </w:pPr>
            <w:r w:rsidRPr="00871721">
              <w:rPr>
                <w:b/>
                <w:color w:val="000000"/>
                <w:sz w:val="20"/>
                <w:szCs w:val="20"/>
              </w:rPr>
              <w:t>Área de Negocio</w:t>
            </w:r>
          </w:p>
        </w:tc>
        <w:tc>
          <w:tcPr>
            <w:tcW w:w="4880" w:type="dxa"/>
            <w:tcBorders>
              <w:top w:val="single" w:sz="8" w:space="0" w:color="000000"/>
              <w:left w:val="nil"/>
              <w:bottom w:val="single" w:sz="8" w:space="0" w:color="000000"/>
              <w:right w:val="single" w:sz="8" w:space="0" w:color="000000"/>
            </w:tcBorders>
            <w:shd w:val="clear" w:color="auto" w:fill="auto"/>
            <w:vAlign w:val="center"/>
          </w:tcPr>
          <w:p w:rsidR="00E627E7" w:rsidRPr="00871721" w:rsidRDefault="00E627E7" w:rsidP="00E02D6F">
            <w:pPr>
              <w:jc w:val="center"/>
              <w:rPr>
                <w:b/>
                <w:color w:val="000000"/>
                <w:sz w:val="20"/>
                <w:szCs w:val="20"/>
              </w:rPr>
            </w:pPr>
            <w:r w:rsidRPr="00871721">
              <w:rPr>
                <w:b/>
                <w:color w:val="000000"/>
                <w:sz w:val="20"/>
                <w:szCs w:val="20"/>
              </w:rPr>
              <w:t>Tipo de personal</w:t>
            </w:r>
          </w:p>
        </w:tc>
        <w:tc>
          <w:tcPr>
            <w:tcW w:w="1200" w:type="dxa"/>
            <w:tcBorders>
              <w:top w:val="single" w:sz="8" w:space="0" w:color="000000"/>
              <w:left w:val="nil"/>
              <w:bottom w:val="single" w:sz="8" w:space="0" w:color="000000"/>
              <w:right w:val="single" w:sz="8" w:space="0" w:color="000000"/>
            </w:tcBorders>
            <w:shd w:val="clear" w:color="auto" w:fill="auto"/>
            <w:vAlign w:val="center"/>
          </w:tcPr>
          <w:p w:rsidR="00E627E7" w:rsidRPr="00871721" w:rsidRDefault="00E627E7" w:rsidP="00E02D6F">
            <w:pPr>
              <w:jc w:val="center"/>
              <w:rPr>
                <w:b/>
                <w:color w:val="000000"/>
                <w:sz w:val="20"/>
                <w:szCs w:val="20"/>
              </w:rPr>
            </w:pPr>
            <w:r w:rsidRPr="00871721">
              <w:rPr>
                <w:b/>
                <w:color w:val="000000"/>
                <w:sz w:val="20"/>
                <w:szCs w:val="20"/>
              </w:rPr>
              <w:t>Personal</w:t>
            </w:r>
          </w:p>
        </w:tc>
      </w:tr>
      <w:tr w:rsidR="00E627E7" w:rsidRPr="00871721" w:rsidTr="00E02D6F">
        <w:trPr>
          <w:trHeight w:val="585"/>
        </w:trPr>
        <w:tc>
          <w:tcPr>
            <w:tcW w:w="3040" w:type="dxa"/>
            <w:tcBorders>
              <w:top w:val="nil"/>
              <w:left w:val="single" w:sz="8" w:space="0" w:color="000000"/>
              <w:bottom w:val="single" w:sz="8" w:space="0" w:color="000000"/>
              <w:right w:val="single" w:sz="8" w:space="0" w:color="000000"/>
            </w:tcBorders>
            <w:shd w:val="clear" w:color="auto" w:fill="auto"/>
            <w:vAlign w:val="center"/>
          </w:tcPr>
          <w:p w:rsidR="00E627E7" w:rsidRPr="00871721" w:rsidRDefault="00E627E7" w:rsidP="00E02D6F">
            <w:pPr>
              <w:jc w:val="both"/>
              <w:rPr>
                <w:color w:val="000000"/>
                <w:sz w:val="20"/>
                <w:szCs w:val="20"/>
              </w:rPr>
            </w:pPr>
            <w:r w:rsidRPr="00871721">
              <w:rPr>
                <w:color w:val="000000"/>
                <w:sz w:val="20"/>
                <w:szCs w:val="20"/>
              </w:rPr>
              <w:t>Cemento</w:t>
            </w:r>
          </w:p>
        </w:tc>
        <w:tc>
          <w:tcPr>
            <w:tcW w:w="4880" w:type="dxa"/>
            <w:tcBorders>
              <w:top w:val="nil"/>
              <w:left w:val="nil"/>
              <w:bottom w:val="single" w:sz="8" w:space="0" w:color="000000"/>
              <w:right w:val="single" w:sz="8" w:space="0" w:color="000000"/>
            </w:tcBorders>
            <w:shd w:val="clear" w:color="auto" w:fill="auto"/>
            <w:vAlign w:val="center"/>
          </w:tcPr>
          <w:p w:rsidR="00E627E7" w:rsidRPr="00871721" w:rsidRDefault="00E627E7" w:rsidP="00E02D6F">
            <w:pPr>
              <w:rPr>
                <w:color w:val="000000"/>
                <w:sz w:val="20"/>
                <w:szCs w:val="20"/>
              </w:rPr>
            </w:pPr>
            <w:r w:rsidRPr="00871721">
              <w:rPr>
                <w:color w:val="000000"/>
                <w:sz w:val="20"/>
                <w:szCs w:val="20"/>
              </w:rPr>
              <w:t>Producción, Distribución, Mercadeo y ventas, Administración</w:t>
            </w:r>
          </w:p>
        </w:tc>
        <w:tc>
          <w:tcPr>
            <w:tcW w:w="1200" w:type="dxa"/>
            <w:tcBorders>
              <w:top w:val="nil"/>
              <w:left w:val="nil"/>
              <w:bottom w:val="single" w:sz="8" w:space="0" w:color="000000"/>
              <w:right w:val="single" w:sz="8" w:space="0" w:color="000000"/>
            </w:tcBorders>
            <w:shd w:val="clear" w:color="auto" w:fill="auto"/>
            <w:vAlign w:val="center"/>
          </w:tcPr>
          <w:p w:rsidR="00E627E7" w:rsidRPr="00871721" w:rsidRDefault="00E627E7" w:rsidP="00E02D6F">
            <w:pPr>
              <w:jc w:val="center"/>
              <w:rPr>
                <w:color w:val="000000"/>
                <w:sz w:val="20"/>
                <w:szCs w:val="20"/>
              </w:rPr>
            </w:pPr>
            <w:r w:rsidRPr="00871721">
              <w:rPr>
                <w:sz w:val="20"/>
                <w:szCs w:val="20"/>
              </w:rPr>
              <w:t>221</w:t>
            </w:r>
          </w:p>
        </w:tc>
      </w:tr>
      <w:tr w:rsidR="00E627E7" w:rsidRPr="00871721" w:rsidTr="00E02D6F">
        <w:trPr>
          <w:trHeight w:val="585"/>
        </w:trPr>
        <w:tc>
          <w:tcPr>
            <w:tcW w:w="3040" w:type="dxa"/>
            <w:tcBorders>
              <w:top w:val="nil"/>
              <w:left w:val="single" w:sz="8" w:space="0" w:color="000000"/>
              <w:bottom w:val="single" w:sz="8" w:space="0" w:color="000000"/>
              <w:right w:val="single" w:sz="8" w:space="0" w:color="000000"/>
            </w:tcBorders>
            <w:shd w:val="clear" w:color="auto" w:fill="auto"/>
            <w:vAlign w:val="center"/>
          </w:tcPr>
          <w:p w:rsidR="00E627E7" w:rsidRPr="00871721" w:rsidRDefault="00E627E7" w:rsidP="00E02D6F">
            <w:pPr>
              <w:jc w:val="both"/>
              <w:rPr>
                <w:color w:val="000000"/>
                <w:sz w:val="20"/>
                <w:szCs w:val="20"/>
              </w:rPr>
            </w:pPr>
            <w:r w:rsidRPr="00871721">
              <w:rPr>
                <w:color w:val="000000"/>
                <w:sz w:val="20"/>
                <w:szCs w:val="20"/>
              </w:rPr>
              <w:t>Co-procesamiento</w:t>
            </w:r>
          </w:p>
        </w:tc>
        <w:tc>
          <w:tcPr>
            <w:tcW w:w="4880" w:type="dxa"/>
            <w:tcBorders>
              <w:top w:val="nil"/>
              <w:left w:val="nil"/>
              <w:bottom w:val="single" w:sz="8" w:space="0" w:color="000000"/>
              <w:right w:val="single" w:sz="8" w:space="0" w:color="000000"/>
            </w:tcBorders>
            <w:shd w:val="clear" w:color="auto" w:fill="auto"/>
            <w:vAlign w:val="center"/>
          </w:tcPr>
          <w:p w:rsidR="00E627E7" w:rsidRPr="00871721" w:rsidRDefault="00E627E7" w:rsidP="00E02D6F">
            <w:pPr>
              <w:jc w:val="both"/>
              <w:rPr>
                <w:color w:val="000000"/>
                <w:sz w:val="20"/>
                <w:szCs w:val="20"/>
              </w:rPr>
            </w:pPr>
            <w:r w:rsidRPr="00871721">
              <w:rPr>
                <w:color w:val="000000"/>
                <w:sz w:val="20"/>
                <w:szCs w:val="20"/>
              </w:rPr>
              <w:t>Producción, Distribución, Mercadeo y ventas, Administración</w:t>
            </w:r>
          </w:p>
        </w:tc>
        <w:tc>
          <w:tcPr>
            <w:tcW w:w="1200" w:type="dxa"/>
            <w:tcBorders>
              <w:top w:val="nil"/>
              <w:left w:val="nil"/>
              <w:bottom w:val="single" w:sz="8" w:space="0" w:color="000000"/>
              <w:right w:val="single" w:sz="8" w:space="0" w:color="000000"/>
            </w:tcBorders>
            <w:shd w:val="clear" w:color="auto" w:fill="auto"/>
            <w:vAlign w:val="center"/>
          </w:tcPr>
          <w:p w:rsidR="00E627E7" w:rsidRPr="00871721" w:rsidRDefault="00E627E7" w:rsidP="00E02D6F">
            <w:pPr>
              <w:jc w:val="center"/>
              <w:rPr>
                <w:color w:val="000000"/>
                <w:sz w:val="20"/>
                <w:szCs w:val="20"/>
              </w:rPr>
            </w:pPr>
            <w:r w:rsidRPr="00871721">
              <w:rPr>
                <w:color w:val="000000"/>
                <w:sz w:val="20"/>
                <w:szCs w:val="20"/>
              </w:rPr>
              <w:t>4</w:t>
            </w:r>
            <w:r w:rsidRPr="00871721">
              <w:rPr>
                <w:sz w:val="20"/>
                <w:szCs w:val="20"/>
              </w:rPr>
              <w:t>3</w:t>
            </w:r>
          </w:p>
        </w:tc>
      </w:tr>
      <w:tr w:rsidR="00E627E7" w:rsidRPr="00871721" w:rsidTr="00E02D6F">
        <w:trPr>
          <w:trHeight w:val="315"/>
        </w:trPr>
        <w:tc>
          <w:tcPr>
            <w:tcW w:w="3040" w:type="dxa"/>
            <w:tcBorders>
              <w:top w:val="nil"/>
              <w:left w:val="single" w:sz="8" w:space="0" w:color="000000"/>
              <w:bottom w:val="single" w:sz="8" w:space="0" w:color="000000"/>
              <w:right w:val="single" w:sz="8" w:space="0" w:color="000000"/>
            </w:tcBorders>
            <w:shd w:val="clear" w:color="auto" w:fill="auto"/>
            <w:vAlign w:val="center"/>
          </w:tcPr>
          <w:p w:rsidR="00E627E7" w:rsidRPr="00871721" w:rsidRDefault="00E627E7" w:rsidP="00E02D6F">
            <w:pPr>
              <w:jc w:val="both"/>
              <w:rPr>
                <w:color w:val="000000"/>
                <w:sz w:val="20"/>
                <w:szCs w:val="20"/>
              </w:rPr>
            </w:pPr>
            <w:r w:rsidRPr="00871721">
              <w:rPr>
                <w:color w:val="000000"/>
                <w:sz w:val="20"/>
                <w:szCs w:val="20"/>
              </w:rPr>
              <w:t>Proyectos</w:t>
            </w:r>
          </w:p>
        </w:tc>
        <w:tc>
          <w:tcPr>
            <w:tcW w:w="4880" w:type="dxa"/>
            <w:tcBorders>
              <w:top w:val="nil"/>
              <w:left w:val="nil"/>
              <w:bottom w:val="single" w:sz="8" w:space="0" w:color="000000"/>
              <w:right w:val="single" w:sz="8" w:space="0" w:color="000000"/>
            </w:tcBorders>
            <w:shd w:val="clear" w:color="auto" w:fill="auto"/>
            <w:vAlign w:val="center"/>
          </w:tcPr>
          <w:p w:rsidR="00E627E7" w:rsidRPr="00871721" w:rsidRDefault="00E627E7" w:rsidP="00E02D6F">
            <w:pPr>
              <w:jc w:val="both"/>
              <w:rPr>
                <w:color w:val="000000"/>
                <w:sz w:val="20"/>
                <w:szCs w:val="20"/>
              </w:rPr>
            </w:pPr>
            <w:r w:rsidRPr="00871721">
              <w:rPr>
                <w:color w:val="000000"/>
                <w:sz w:val="20"/>
                <w:szCs w:val="20"/>
              </w:rPr>
              <w:t>Producción</w:t>
            </w:r>
          </w:p>
        </w:tc>
        <w:tc>
          <w:tcPr>
            <w:tcW w:w="1200" w:type="dxa"/>
            <w:tcBorders>
              <w:top w:val="nil"/>
              <w:left w:val="nil"/>
              <w:bottom w:val="single" w:sz="8" w:space="0" w:color="000000"/>
              <w:right w:val="single" w:sz="8" w:space="0" w:color="000000"/>
            </w:tcBorders>
            <w:shd w:val="clear" w:color="auto" w:fill="auto"/>
            <w:vAlign w:val="center"/>
          </w:tcPr>
          <w:p w:rsidR="00E627E7" w:rsidRPr="00871721" w:rsidRDefault="00E627E7" w:rsidP="00E02D6F">
            <w:pPr>
              <w:jc w:val="center"/>
              <w:rPr>
                <w:color w:val="000000"/>
                <w:sz w:val="20"/>
                <w:szCs w:val="20"/>
              </w:rPr>
            </w:pPr>
            <w:r w:rsidRPr="00871721">
              <w:rPr>
                <w:sz w:val="20"/>
                <w:szCs w:val="20"/>
              </w:rPr>
              <w:t>5</w:t>
            </w:r>
          </w:p>
        </w:tc>
      </w:tr>
      <w:tr w:rsidR="00E627E7" w:rsidRPr="00871721" w:rsidTr="00E02D6F">
        <w:trPr>
          <w:trHeight w:val="315"/>
        </w:trPr>
        <w:tc>
          <w:tcPr>
            <w:tcW w:w="3040" w:type="dxa"/>
            <w:tcBorders>
              <w:top w:val="nil"/>
              <w:left w:val="single" w:sz="8" w:space="0" w:color="000000"/>
              <w:bottom w:val="single" w:sz="8" w:space="0" w:color="000000"/>
              <w:right w:val="single" w:sz="8" w:space="0" w:color="000000"/>
            </w:tcBorders>
            <w:shd w:val="clear" w:color="auto" w:fill="auto"/>
            <w:vAlign w:val="center"/>
          </w:tcPr>
          <w:p w:rsidR="00E627E7" w:rsidRPr="00871721" w:rsidRDefault="00E627E7" w:rsidP="00E02D6F">
            <w:pPr>
              <w:jc w:val="both"/>
              <w:rPr>
                <w:color w:val="000000"/>
                <w:sz w:val="20"/>
                <w:szCs w:val="20"/>
              </w:rPr>
            </w:pPr>
            <w:r w:rsidRPr="00871721">
              <w:rPr>
                <w:sz w:val="20"/>
                <w:szCs w:val="20"/>
              </w:rPr>
              <w:t>Concretos</w:t>
            </w:r>
          </w:p>
        </w:tc>
        <w:tc>
          <w:tcPr>
            <w:tcW w:w="4880" w:type="dxa"/>
            <w:tcBorders>
              <w:top w:val="nil"/>
              <w:left w:val="nil"/>
              <w:bottom w:val="single" w:sz="8" w:space="0" w:color="000000"/>
              <w:right w:val="single" w:sz="8" w:space="0" w:color="000000"/>
            </w:tcBorders>
            <w:shd w:val="clear" w:color="auto" w:fill="auto"/>
            <w:vAlign w:val="center"/>
          </w:tcPr>
          <w:p w:rsidR="00E627E7" w:rsidRPr="00871721" w:rsidRDefault="00E627E7" w:rsidP="00E02D6F">
            <w:pPr>
              <w:jc w:val="both"/>
              <w:rPr>
                <w:color w:val="000000"/>
                <w:sz w:val="20"/>
                <w:szCs w:val="20"/>
              </w:rPr>
            </w:pPr>
            <w:r w:rsidRPr="00871721">
              <w:rPr>
                <w:sz w:val="20"/>
                <w:szCs w:val="20"/>
              </w:rPr>
              <w:t>Producción, Distribución, Mercadeo y ventas, Administración</w:t>
            </w:r>
          </w:p>
        </w:tc>
        <w:tc>
          <w:tcPr>
            <w:tcW w:w="1200" w:type="dxa"/>
            <w:tcBorders>
              <w:top w:val="nil"/>
              <w:left w:val="nil"/>
              <w:bottom w:val="single" w:sz="8" w:space="0" w:color="000000"/>
              <w:right w:val="single" w:sz="8" w:space="0" w:color="000000"/>
            </w:tcBorders>
            <w:shd w:val="clear" w:color="auto" w:fill="auto"/>
            <w:vAlign w:val="center"/>
          </w:tcPr>
          <w:p w:rsidR="00E627E7" w:rsidRPr="00871721" w:rsidRDefault="00E627E7" w:rsidP="00E02D6F">
            <w:pPr>
              <w:jc w:val="center"/>
              <w:rPr>
                <w:sz w:val="20"/>
                <w:szCs w:val="20"/>
              </w:rPr>
            </w:pPr>
            <w:r w:rsidRPr="00871721">
              <w:rPr>
                <w:sz w:val="20"/>
                <w:szCs w:val="20"/>
              </w:rPr>
              <w:t>7</w:t>
            </w:r>
          </w:p>
        </w:tc>
      </w:tr>
      <w:tr w:rsidR="00E627E7" w:rsidRPr="00871721" w:rsidTr="00E02D6F">
        <w:trPr>
          <w:trHeight w:val="315"/>
        </w:trPr>
        <w:tc>
          <w:tcPr>
            <w:tcW w:w="3040" w:type="dxa"/>
            <w:tcBorders>
              <w:top w:val="nil"/>
              <w:left w:val="single" w:sz="8" w:space="0" w:color="000000"/>
              <w:bottom w:val="single" w:sz="8" w:space="0" w:color="000000"/>
              <w:right w:val="single" w:sz="8" w:space="0" w:color="000000"/>
            </w:tcBorders>
            <w:shd w:val="clear" w:color="auto" w:fill="auto"/>
            <w:vAlign w:val="center"/>
          </w:tcPr>
          <w:p w:rsidR="00E627E7" w:rsidRPr="00871721" w:rsidRDefault="00E627E7" w:rsidP="00E02D6F">
            <w:pPr>
              <w:jc w:val="both"/>
              <w:rPr>
                <w:sz w:val="20"/>
                <w:szCs w:val="20"/>
              </w:rPr>
            </w:pPr>
            <w:r w:rsidRPr="00871721">
              <w:rPr>
                <w:sz w:val="20"/>
                <w:szCs w:val="20"/>
              </w:rPr>
              <w:t>Prefabricados</w:t>
            </w:r>
          </w:p>
        </w:tc>
        <w:tc>
          <w:tcPr>
            <w:tcW w:w="4880" w:type="dxa"/>
            <w:tcBorders>
              <w:top w:val="nil"/>
              <w:left w:val="nil"/>
              <w:bottom w:val="single" w:sz="8" w:space="0" w:color="000000"/>
              <w:right w:val="single" w:sz="8" w:space="0" w:color="000000"/>
            </w:tcBorders>
            <w:shd w:val="clear" w:color="auto" w:fill="auto"/>
            <w:vAlign w:val="center"/>
          </w:tcPr>
          <w:p w:rsidR="00E627E7" w:rsidRPr="00871721" w:rsidRDefault="00E627E7" w:rsidP="00E02D6F">
            <w:pPr>
              <w:jc w:val="both"/>
              <w:rPr>
                <w:sz w:val="20"/>
                <w:szCs w:val="20"/>
              </w:rPr>
            </w:pPr>
            <w:r w:rsidRPr="00871721">
              <w:rPr>
                <w:sz w:val="20"/>
                <w:szCs w:val="20"/>
              </w:rPr>
              <w:t>Producción, Distribución, Mercadeo y ventas, Administración</w:t>
            </w:r>
          </w:p>
        </w:tc>
        <w:tc>
          <w:tcPr>
            <w:tcW w:w="1200" w:type="dxa"/>
            <w:tcBorders>
              <w:top w:val="nil"/>
              <w:left w:val="nil"/>
              <w:bottom w:val="single" w:sz="8" w:space="0" w:color="000000"/>
              <w:right w:val="single" w:sz="8" w:space="0" w:color="000000"/>
            </w:tcBorders>
            <w:shd w:val="clear" w:color="auto" w:fill="auto"/>
            <w:vAlign w:val="center"/>
          </w:tcPr>
          <w:p w:rsidR="00E627E7" w:rsidRPr="00871721" w:rsidRDefault="00E627E7" w:rsidP="00E02D6F">
            <w:pPr>
              <w:jc w:val="center"/>
              <w:rPr>
                <w:sz w:val="20"/>
                <w:szCs w:val="20"/>
              </w:rPr>
            </w:pPr>
            <w:r w:rsidRPr="00871721">
              <w:rPr>
                <w:sz w:val="20"/>
                <w:szCs w:val="20"/>
              </w:rPr>
              <w:t>276</w:t>
            </w:r>
          </w:p>
        </w:tc>
      </w:tr>
      <w:tr w:rsidR="00E627E7" w:rsidRPr="00871721" w:rsidTr="00E02D6F">
        <w:trPr>
          <w:trHeight w:val="315"/>
        </w:trPr>
        <w:tc>
          <w:tcPr>
            <w:tcW w:w="3040" w:type="dxa"/>
            <w:tcBorders>
              <w:top w:val="nil"/>
              <w:left w:val="single" w:sz="8" w:space="0" w:color="000000"/>
              <w:bottom w:val="single" w:sz="8" w:space="0" w:color="000000"/>
              <w:right w:val="single" w:sz="8" w:space="0" w:color="000000"/>
            </w:tcBorders>
            <w:shd w:val="clear" w:color="auto" w:fill="auto"/>
            <w:vAlign w:val="center"/>
          </w:tcPr>
          <w:p w:rsidR="00E627E7" w:rsidRPr="00871721" w:rsidRDefault="00E627E7" w:rsidP="00E02D6F">
            <w:pPr>
              <w:jc w:val="both"/>
              <w:rPr>
                <w:b/>
                <w:color w:val="000000"/>
                <w:sz w:val="20"/>
                <w:szCs w:val="20"/>
              </w:rPr>
            </w:pPr>
            <w:r w:rsidRPr="00871721">
              <w:rPr>
                <w:b/>
                <w:color w:val="000000"/>
                <w:sz w:val="20"/>
                <w:szCs w:val="20"/>
              </w:rPr>
              <w:t>TOTAL</w:t>
            </w:r>
          </w:p>
        </w:tc>
        <w:tc>
          <w:tcPr>
            <w:tcW w:w="4880" w:type="dxa"/>
            <w:tcBorders>
              <w:top w:val="nil"/>
              <w:left w:val="nil"/>
              <w:bottom w:val="single" w:sz="8" w:space="0" w:color="000000"/>
              <w:right w:val="single" w:sz="8" w:space="0" w:color="000000"/>
            </w:tcBorders>
            <w:shd w:val="clear" w:color="auto" w:fill="auto"/>
            <w:vAlign w:val="center"/>
          </w:tcPr>
          <w:p w:rsidR="00E627E7" w:rsidRPr="00871721" w:rsidRDefault="00E627E7" w:rsidP="00E02D6F">
            <w:pPr>
              <w:jc w:val="both"/>
              <w:rPr>
                <w:color w:val="000000"/>
                <w:sz w:val="20"/>
                <w:szCs w:val="20"/>
              </w:rPr>
            </w:pPr>
            <w:r w:rsidRPr="00871721">
              <w:rPr>
                <w:color w:val="000000"/>
                <w:sz w:val="20"/>
                <w:szCs w:val="20"/>
              </w:rPr>
              <w:t> </w:t>
            </w:r>
          </w:p>
        </w:tc>
        <w:tc>
          <w:tcPr>
            <w:tcW w:w="1200" w:type="dxa"/>
            <w:tcBorders>
              <w:top w:val="nil"/>
              <w:left w:val="nil"/>
              <w:bottom w:val="single" w:sz="8" w:space="0" w:color="000000"/>
              <w:right w:val="single" w:sz="8" w:space="0" w:color="000000"/>
            </w:tcBorders>
            <w:shd w:val="clear" w:color="auto" w:fill="auto"/>
            <w:vAlign w:val="center"/>
          </w:tcPr>
          <w:p w:rsidR="00E627E7" w:rsidRPr="00871721" w:rsidRDefault="00E627E7" w:rsidP="00E02D6F">
            <w:pPr>
              <w:jc w:val="center"/>
              <w:rPr>
                <w:b/>
                <w:color w:val="000000"/>
                <w:sz w:val="20"/>
                <w:szCs w:val="20"/>
              </w:rPr>
            </w:pPr>
            <w:r w:rsidRPr="00871721">
              <w:rPr>
                <w:b/>
                <w:sz w:val="20"/>
                <w:szCs w:val="20"/>
              </w:rPr>
              <w:t>552</w:t>
            </w:r>
          </w:p>
        </w:tc>
      </w:tr>
    </w:tbl>
    <w:p w:rsidR="00E627E7" w:rsidRPr="00871721" w:rsidRDefault="00E627E7" w:rsidP="00E627E7">
      <w:pPr>
        <w:jc w:val="both"/>
      </w:pPr>
    </w:p>
    <w:p w:rsidR="00E627E7" w:rsidRPr="00871721" w:rsidRDefault="00E627E7" w:rsidP="00E627E7">
      <w:pPr>
        <w:jc w:val="both"/>
      </w:pPr>
      <w:r w:rsidRPr="00871721">
        <w:t xml:space="preserve">Además, la empresa cuenta actualmente con una Asociación </w:t>
      </w:r>
      <w:proofErr w:type="spellStart"/>
      <w:r w:rsidRPr="00871721">
        <w:t>Solidarista</w:t>
      </w:r>
      <w:proofErr w:type="spellEnd"/>
      <w:r w:rsidRPr="00871721">
        <w:t xml:space="preserve"> compuesta por el 83% del total de colaboradores.</w:t>
      </w:r>
    </w:p>
    <w:p w:rsidR="00E627E7" w:rsidRPr="00871721" w:rsidRDefault="00E627E7" w:rsidP="00E627E7">
      <w:pPr>
        <w:jc w:val="both"/>
      </w:pPr>
    </w:p>
    <w:p w:rsidR="00E627E7" w:rsidRPr="00871721" w:rsidRDefault="00E627E7" w:rsidP="00E627E7">
      <w:pPr>
        <w:jc w:val="both"/>
      </w:pPr>
      <w:r w:rsidRPr="00871721">
        <w:t xml:space="preserve">Al 31 de diciembre del 2023 un empleado de </w:t>
      </w:r>
      <w:proofErr w:type="spellStart"/>
      <w:r w:rsidRPr="00871721">
        <w:t>Holcim</w:t>
      </w:r>
      <w:proofErr w:type="spellEnd"/>
      <w:r w:rsidRPr="00871721">
        <w:t xml:space="preserve"> en Latinoamérica, posee acciones con una participación de 0,005% con respecto al capital total; en el caso de la Junta Directiva se tiene 1 accionista que representan el 0,0025% con respecto al capital total.  Sus acciones no tienen derecho de voto diferente, ni derechos de suscripción de acciones preferentes; así como tampoco opciones en acciones.</w:t>
      </w:r>
    </w:p>
    <w:p w:rsidR="00E627E7" w:rsidRPr="00871721" w:rsidRDefault="00E627E7" w:rsidP="00E627E7">
      <w:pPr>
        <w:jc w:val="both"/>
      </w:pPr>
    </w:p>
    <w:p w:rsidR="00E627E7" w:rsidRDefault="00E627E7" w:rsidP="00E627E7">
      <w:pPr>
        <w:jc w:val="both"/>
      </w:pPr>
      <w:r>
        <w:br w:type="page"/>
      </w:r>
    </w:p>
    <w:p w:rsidR="00E627E7" w:rsidRPr="00871721" w:rsidRDefault="00E627E7" w:rsidP="00E627E7">
      <w:pPr>
        <w:keepNext/>
        <w:tabs>
          <w:tab w:val="left" w:pos="3015"/>
          <w:tab w:val="center" w:pos="4874"/>
        </w:tabs>
        <w:rPr>
          <w:b/>
          <w:sz w:val="28"/>
          <w:szCs w:val="28"/>
        </w:rPr>
      </w:pPr>
      <w:r w:rsidRPr="00871721">
        <w:rPr>
          <w:b/>
          <w:sz w:val="28"/>
          <w:szCs w:val="28"/>
        </w:rPr>
        <w:tab/>
      </w:r>
      <w:r w:rsidRPr="00871721">
        <w:rPr>
          <w:b/>
          <w:sz w:val="28"/>
          <w:szCs w:val="28"/>
        </w:rPr>
        <w:tab/>
        <w:t>CAPÍTULO VI</w:t>
      </w:r>
    </w:p>
    <w:p w:rsidR="00E627E7" w:rsidRPr="00871721" w:rsidRDefault="00E627E7" w:rsidP="00E627E7">
      <w:pPr>
        <w:jc w:val="both"/>
      </w:pPr>
    </w:p>
    <w:p w:rsidR="00E627E7" w:rsidRPr="00871721" w:rsidRDefault="00E627E7" w:rsidP="00E627E7">
      <w:pPr>
        <w:jc w:val="both"/>
        <w:rPr>
          <w:b/>
          <w:sz w:val="24"/>
          <w:szCs w:val="24"/>
        </w:rPr>
      </w:pPr>
      <w:r w:rsidRPr="00871721">
        <w:rPr>
          <w:b/>
          <w:sz w:val="24"/>
          <w:szCs w:val="24"/>
        </w:rPr>
        <w:t>PARTICIPACIONES SIGNIFICATIVAS Y TRANSACCIONES CON PARTES RELACIONADAS</w:t>
      </w:r>
    </w:p>
    <w:p w:rsidR="00E627E7" w:rsidRPr="00871721" w:rsidRDefault="00E627E7" w:rsidP="00E627E7">
      <w:pPr>
        <w:jc w:val="both"/>
      </w:pPr>
    </w:p>
    <w:p w:rsidR="00E627E7" w:rsidRPr="00871721" w:rsidRDefault="00E627E7" w:rsidP="00E627E7">
      <w:pPr>
        <w:jc w:val="both"/>
      </w:pPr>
      <w:r w:rsidRPr="00871721">
        <w:t xml:space="preserve">Únicamente la empresa </w:t>
      </w:r>
      <w:proofErr w:type="spellStart"/>
      <w:r w:rsidRPr="00871721">
        <w:t>Holcim</w:t>
      </w:r>
      <w:proofErr w:type="spellEnd"/>
      <w:r w:rsidRPr="00871721">
        <w:t xml:space="preserve"> </w:t>
      </w:r>
      <w:proofErr w:type="spellStart"/>
      <w:r w:rsidRPr="00871721">
        <w:t>Auslandbeteiligungs</w:t>
      </w:r>
      <w:proofErr w:type="spellEnd"/>
      <w:r w:rsidRPr="00871721">
        <w:t xml:space="preserve"> </w:t>
      </w:r>
      <w:proofErr w:type="spellStart"/>
      <w:r w:rsidRPr="00871721">
        <w:t>Gmbh</w:t>
      </w:r>
      <w:proofErr w:type="spellEnd"/>
      <w:r w:rsidRPr="00871721">
        <w:t xml:space="preserve"> (</w:t>
      </w:r>
      <w:proofErr w:type="spellStart"/>
      <w:r w:rsidRPr="00871721">
        <w:t>Deutschland</w:t>
      </w:r>
      <w:proofErr w:type="spellEnd"/>
      <w:r w:rsidRPr="00871721">
        <w:t>), mantiene una participación superior al 10% del capital social de la empresa, la cual asciende a un 6</w:t>
      </w:r>
      <w:r w:rsidR="00D51983">
        <w:t>6</w:t>
      </w:r>
      <w:r w:rsidRPr="00871721">
        <w:t>.</w:t>
      </w:r>
      <w:r w:rsidR="00E02D6F">
        <w:t>67</w:t>
      </w:r>
      <w:r w:rsidRPr="00871721">
        <w:t>% del capital social.</w:t>
      </w:r>
    </w:p>
    <w:p w:rsidR="00E627E7" w:rsidRPr="00871721" w:rsidRDefault="00E627E7" w:rsidP="00E627E7">
      <w:pPr>
        <w:jc w:val="both"/>
        <w:rPr>
          <w:sz w:val="18"/>
          <w:szCs w:val="18"/>
        </w:rPr>
      </w:pPr>
    </w:p>
    <w:p w:rsidR="00E627E7" w:rsidRPr="00871721" w:rsidRDefault="00E627E7" w:rsidP="00E627E7">
      <w:pPr>
        <w:jc w:val="both"/>
      </w:pPr>
      <w:r w:rsidRPr="00871721">
        <w:t xml:space="preserve">En cuanto a las transacciones con partes relacionadas, el grupo de interés económico que conforma </w:t>
      </w:r>
      <w:proofErr w:type="spellStart"/>
      <w:r w:rsidRPr="00871721">
        <w:t>Holcim</w:t>
      </w:r>
      <w:proofErr w:type="spellEnd"/>
      <w:r w:rsidRPr="00871721">
        <w:t xml:space="preserve"> (Costa Rica), S.A. y sus empresas subsidiarias mantiene relaciones comerciales entre ellas, primordialmente en condiciones de proveedor-cliente de materias primas y/o servicios.  El cuadro que se presenta a continuación muestra en forma esquemática dichas relaciones comerciales en 2023:</w:t>
      </w:r>
    </w:p>
    <w:p w:rsidR="00E627E7" w:rsidRPr="00871721" w:rsidRDefault="00E627E7" w:rsidP="00E627E7">
      <w:pPr>
        <w:jc w:val="both"/>
      </w:pPr>
    </w:p>
    <w:tbl>
      <w:tblPr>
        <w:tblW w:w="10180" w:type="dxa"/>
        <w:tblInd w:w="55" w:type="dxa"/>
        <w:tblLayout w:type="fixed"/>
        <w:tblLook w:val="0400" w:firstRow="0" w:lastRow="0" w:firstColumn="0" w:lastColumn="0" w:noHBand="0" w:noVBand="1"/>
      </w:tblPr>
      <w:tblGrid>
        <w:gridCol w:w="3400"/>
        <w:gridCol w:w="3300"/>
        <w:gridCol w:w="3480"/>
      </w:tblGrid>
      <w:tr w:rsidR="00E627E7" w:rsidRPr="00871721" w:rsidTr="00E02D6F">
        <w:trPr>
          <w:trHeight w:val="465"/>
        </w:trPr>
        <w:tc>
          <w:tcPr>
            <w:tcW w:w="3400" w:type="dxa"/>
            <w:tcBorders>
              <w:top w:val="single" w:sz="4" w:space="0" w:color="000000"/>
              <w:left w:val="single" w:sz="4" w:space="0" w:color="000000"/>
              <w:bottom w:val="nil"/>
              <w:right w:val="single" w:sz="8" w:space="0" w:color="000000"/>
            </w:tcBorders>
            <w:shd w:val="clear" w:color="auto" w:fill="FFFFFF"/>
            <w:vAlign w:val="center"/>
          </w:tcPr>
          <w:p w:rsidR="00E627E7" w:rsidRPr="00871721" w:rsidRDefault="00E627E7" w:rsidP="00E02D6F">
            <w:pPr>
              <w:jc w:val="center"/>
              <w:rPr>
                <w:b/>
                <w:color w:val="222222"/>
                <w:sz w:val="20"/>
                <w:szCs w:val="20"/>
              </w:rPr>
            </w:pPr>
            <w:r w:rsidRPr="00871721">
              <w:rPr>
                <w:b/>
                <w:color w:val="222222"/>
                <w:sz w:val="20"/>
                <w:szCs w:val="20"/>
              </w:rPr>
              <w:t>Proveedor</w:t>
            </w:r>
          </w:p>
        </w:tc>
        <w:tc>
          <w:tcPr>
            <w:tcW w:w="3300" w:type="dxa"/>
            <w:tcBorders>
              <w:top w:val="single" w:sz="4" w:space="0" w:color="000000"/>
              <w:left w:val="nil"/>
              <w:bottom w:val="nil"/>
              <w:right w:val="single" w:sz="8" w:space="0" w:color="000000"/>
            </w:tcBorders>
            <w:shd w:val="clear" w:color="auto" w:fill="FFFFFF"/>
            <w:vAlign w:val="center"/>
          </w:tcPr>
          <w:p w:rsidR="00E627E7" w:rsidRPr="00871721" w:rsidRDefault="00E627E7" w:rsidP="00E02D6F">
            <w:pPr>
              <w:jc w:val="center"/>
              <w:rPr>
                <w:b/>
                <w:color w:val="222222"/>
                <w:sz w:val="20"/>
                <w:szCs w:val="20"/>
              </w:rPr>
            </w:pPr>
            <w:r w:rsidRPr="00871721">
              <w:rPr>
                <w:b/>
                <w:color w:val="222222"/>
                <w:sz w:val="20"/>
                <w:szCs w:val="20"/>
              </w:rPr>
              <w:t>Producto/Servicio</w:t>
            </w:r>
          </w:p>
        </w:tc>
        <w:tc>
          <w:tcPr>
            <w:tcW w:w="3480" w:type="dxa"/>
            <w:tcBorders>
              <w:top w:val="single" w:sz="4" w:space="0" w:color="000000"/>
              <w:left w:val="nil"/>
              <w:bottom w:val="single" w:sz="6" w:space="0" w:color="000000"/>
              <w:right w:val="single" w:sz="4" w:space="0" w:color="000000"/>
            </w:tcBorders>
            <w:shd w:val="clear" w:color="auto" w:fill="FFFFFF"/>
            <w:vAlign w:val="center"/>
          </w:tcPr>
          <w:p w:rsidR="00E627E7" w:rsidRPr="00871721" w:rsidRDefault="00E627E7" w:rsidP="00E02D6F">
            <w:pPr>
              <w:jc w:val="center"/>
              <w:rPr>
                <w:b/>
                <w:color w:val="222222"/>
                <w:sz w:val="20"/>
                <w:szCs w:val="20"/>
              </w:rPr>
            </w:pPr>
            <w:r w:rsidRPr="00871721">
              <w:rPr>
                <w:b/>
                <w:color w:val="222222"/>
                <w:sz w:val="20"/>
                <w:szCs w:val="20"/>
              </w:rPr>
              <w:t>Cliente</w:t>
            </w:r>
          </w:p>
        </w:tc>
      </w:tr>
      <w:tr w:rsidR="00E627E7" w:rsidRPr="00871721" w:rsidTr="00E02D6F">
        <w:trPr>
          <w:trHeight w:val="480"/>
        </w:trPr>
        <w:tc>
          <w:tcPr>
            <w:tcW w:w="3400" w:type="dxa"/>
            <w:vMerge w:val="restart"/>
            <w:tcBorders>
              <w:top w:val="single" w:sz="6" w:space="0" w:color="000000"/>
              <w:left w:val="single" w:sz="4" w:space="0" w:color="000000"/>
              <w:bottom w:val="nil"/>
              <w:right w:val="nil"/>
            </w:tcBorders>
            <w:shd w:val="clear" w:color="auto" w:fill="FFFFFF"/>
            <w:vAlign w:val="center"/>
          </w:tcPr>
          <w:p w:rsidR="00E627E7" w:rsidRPr="00871721" w:rsidRDefault="00E627E7" w:rsidP="00E02D6F">
            <w:pPr>
              <w:jc w:val="both"/>
              <w:rPr>
                <w:sz w:val="20"/>
                <w:szCs w:val="20"/>
              </w:rPr>
            </w:pPr>
            <w:proofErr w:type="spellStart"/>
            <w:r w:rsidRPr="00871721">
              <w:rPr>
                <w:sz w:val="20"/>
                <w:szCs w:val="20"/>
              </w:rPr>
              <w:t>Holcim</w:t>
            </w:r>
            <w:proofErr w:type="spellEnd"/>
            <w:r w:rsidRPr="00871721">
              <w:rPr>
                <w:sz w:val="20"/>
                <w:szCs w:val="20"/>
              </w:rPr>
              <w:t xml:space="preserve"> (Costa Rica), S.A.</w:t>
            </w:r>
          </w:p>
        </w:tc>
        <w:tc>
          <w:tcPr>
            <w:tcW w:w="3300" w:type="dxa"/>
            <w:vMerge w:val="restart"/>
            <w:tcBorders>
              <w:top w:val="single" w:sz="8" w:space="0" w:color="000000"/>
              <w:left w:val="single" w:sz="8" w:space="0" w:color="000000"/>
              <w:bottom w:val="nil"/>
              <w:right w:val="single" w:sz="8" w:space="0" w:color="000000"/>
            </w:tcBorders>
            <w:shd w:val="clear" w:color="auto" w:fill="FFFFFF"/>
            <w:vAlign w:val="center"/>
          </w:tcPr>
          <w:p w:rsidR="00E627E7" w:rsidRPr="00871721" w:rsidRDefault="00E627E7" w:rsidP="00E02D6F">
            <w:pPr>
              <w:jc w:val="both"/>
              <w:rPr>
                <w:sz w:val="20"/>
                <w:szCs w:val="20"/>
              </w:rPr>
            </w:pPr>
            <w:r w:rsidRPr="00871721">
              <w:rPr>
                <w:sz w:val="20"/>
                <w:szCs w:val="20"/>
              </w:rPr>
              <w:t>Traslados de gastos Administrativos</w:t>
            </w:r>
          </w:p>
        </w:tc>
        <w:tc>
          <w:tcPr>
            <w:tcW w:w="3480" w:type="dxa"/>
            <w:tcBorders>
              <w:top w:val="nil"/>
              <w:left w:val="nil"/>
              <w:bottom w:val="nil"/>
              <w:right w:val="single" w:sz="4" w:space="0" w:color="000000"/>
            </w:tcBorders>
            <w:shd w:val="clear" w:color="auto" w:fill="FFFFFF"/>
            <w:vAlign w:val="center"/>
          </w:tcPr>
          <w:p w:rsidR="00E627E7" w:rsidRPr="00871721" w:rsidRDefault="00E627E7" w:rsidP="00E02D6F">
            <w:pPr>
              <w:rPr>
                <w:sz w:val="20"/>
                <w:szCs w:val="20"/>
              </w:rPr>
            </w:pPr>
            <w:r w:rsidRPr="00871721">
              <w:rPr>
                <w:sz w:val="20"/>
                <w:szCs w:val="20"/>
              </w:rPr>
              <w:t xml:space="preserve">Servicios Ambientales </w:t>
            </w:r>
            <w:proofErr w:type="spellStart"/>
            <w:r w:rsidRPr="00871721">
              <w:rPr>
                <w:sz w:val="20"/>
                <w:szCs w:val="20"/>
              </w:rPr>
              <w:t>Geocycle</w:t>
            </w:r>
            <w:proofErr w:type="spellEnd"/>
            <w:r w:rsidRPr="00871721">
              <w:rPr>
                <w:sz w:val="20"/>
                <w:szCs w:val="20"/>
              </w:rPr>
              <w:t xml:space="preserve"> S.A.G S.A</w:t>
            </w:r>
            <w:r>
              <w:rPr>
                <w:sz w:val="20"/>
                <w:szCs w:val="20"/>
              </w:rPr>
              <w:t xml:space="preserve">  (Desde 22 de abril de 2024 </w:t>
            </w:r>
            <w:proofErr w:type="spellStart"/>
            <w:r>
              <w:rPr>
                <w:sz w:val="20"/>
                <w:szCs w:val="20"/>
              </w:rPr>
              <w:t>Holcim</w:t>
            </w:r>
            <w:proofErr w:type="spellEnd"/>
            <w:r>
              <w:rPr>
                <w:sz w:val="20"/>
                <w:szCs w:val="20"/>
              </w:rPr>
              <w:t xml:space="preserve"> Costa Rica, S.A.)</w:t>
            </w:r>
          </w:p>
        </w:tc>
      </w:tr>
      <w:tr w:rsidR="00E627E7" w:rsidRPr="00871721" w:rsidTr="00E02D6F">
        <w:trPr>
          <w:trHeight w:val="480"/>
        </w:trPr>
        <w:tc>
          <w:tcPr>
            <w:tcW w:w="3400" w:type="dxa"/>
            <w:vMerge/>
            <w:tcBorders>
              <w:top w:val="single" w:sz="6" w:space="0" w:color="000000"/>
              <w:left w:val="single" w:sz="4" w:space="0" w:color="000000"/>
              <w:bottom w:val="single" w:sz="4" w:space="0" w:color="auto"/>
              <w:right w:val="nil"/>
            </w:tcBorders>
            <w:shd w:val="clear" w:color="auto" w:fill="FFFFFF"/>
            <w:vAlign w:val="center"/>
          </w:tcPr>
          <w:p w:rsidR="00E627E7" w:rsidRPr="00871721" w:rsidRDefault="00E627E7" w:rsidP="00E02D6F">
            <w:pPr>
              <w:widowControl w:val="0"/>
              <w:pBdr>
                <w:top w:val="nil"/>
                <w:left w:val="nil"/>
                <w:bottom w:val="nil"/>
                <w:right w:val="nil"/>
                <w:between w:val="nil"/>
              </w:pBdr>
              <w:spacing w:line="276" w:lineRule="auto"/>
              <w:rPr>
                <w:sz w:val="20"/>
                <w:szCs w:val="20"/>
              </w:rPr>
            </w:pPr>
          </w:p>
        </w:tc>
        <w:tc>
          <w:tcPr>
            <w:tcW w:w="3300" w:type="dxa"/>
            <w:vMerge/>
            <w:tcBorders>
              <w:top w:val="single" w:sz="8" w:space="0" w:color="000000"/>
              <w:left w:val="single" w:sz="8" w:space="0" w:color="000000"/>
              <w:bottom w:val="single" w:sz="4" w:space="0" w:color="auto"/>
              <w:right w:val="single" w:sz="8" w:space="0" w:color="000000"/>
            </w:tcBorders>
            <w:shd w:val="clear" w:color="auto" w:fill="FFFFFF"/>
            <w:vAlign w:val="center"/>
          </w:tcPr>
          <w:p w:rsidR="00E627E7" w:rsidRPr="00871721" w:rsidRDefault="00E627E7" w:rsidP="00E02D6F">
            <w:pPr>
              <w:widowControl w:val="0"/>
              <w:pBdr>
                <w:top w:val="nil"/>
                <w:left w:val="nil"/>
                <w:bottom w:val="nil"/>
                <w:right w:val="nil"/>
                <w:between w:val="nil"/>
              </w:pBdr>
              <w:spacing w:line="276" w:lineRule="auto"/>
              <w:rPr>
                <w:sz w:val="20"/>
                <w:szCs w:val="20"/>
              </w:rPr>
            </w:pPr>
          </w:p>
        </w:tc>
        <w:tc>
          <w:tcPr>
            <w:tcW w:w="3480" w:type="dxa"/>
            <w:tcBorders>
              <w:top w:val="nil"/>
              <w:left w:val="nil"/>
              <w:bottom w:val="single" w:sz="4" w:space="0" w:color="auto"/>
              <w:right w:val="single" w:sz="4" w:space="0" w:color="000000"/>
            </w:tcBorders>
            <w:shd w:val="clear" w:color="auto" w:fill="FFFFFF"/>
            <w:vAlign w:val="center"/>
          </w:tcPr>
          <w:p w:rsidR="00E627E7" w:rsidRPr="00871721" w:rsidRDefault="00E627E7" w:rsidP="00E02D6F">
            <w:pPr>
              <w:jc w:val="both"/>
              <w:rPr>
                <w:sz w:val="20"/>
                <w:szCs w:val="20"/>
              </w:rPr>
            </w:pPr>
            <w:proofErr w:type="spellStart"/>
            <w:r w:rsidRPr="00871721">
              <w:rPr>
                <w:sz w:val="20"/>
                <w:szCs w:val="20"/>
              </w:rPr>
              <w:t>ConstruCorp</w:t>
            </w:r>
            <w:proofErr w:type="spellEnd"/>
            <w:r w:rsidRPr="00871721">
              <w:rPr>
                <w:sz w:val="20"/>
                <w:szCs w:val="20"/>
              </w:rPr>
              <w:t xml:space="preserve"> Internacional SCI, S.A.</w:t>
            </w:r>
          </w:p>
        </w:tc>
      </w:tr>
      <w:tr w:rsidR="00E627E7" w:rsidRPr="00871721" w:rsidTr="00E02D6F">
        <w:trPr>
          <w:trHeight w:val="480"/>
        </w:trPr>
        <w:tc>
          <w:tcPr>
            <w:tcW w:w="3400" w:type="dxa"/>
            <w:tcBorders>
              <w:top w:val="single" w:sz="4" w:space="0" w:color="auto"/>
              <w:left w:val="single" w:sz="4" w:space="0" w:color="000000"/>
              <w:bottom w:val="single" w:sz="4" w:space="0" w:color="000000"/>
              <w:right w:val="nil"/>
            </w:tcBorders>
            <w:shd w:val="clear" w:color="auto" w:fill="FFFFFF"/>
            <w:vAlign w:val="center"/>
          </w:tcPr>
          <w:p w:rsidR="00E627E7" w:rsidRPr="00871721" w:rsidRDefault="00E627E7" w:rsidP="00E02D6F">
            <w:pPr>
              <w:jc w:val="both"/>
              <w:rPr>
                <w:sz w:val="20"/>
                <w:szCs w:val="20"/>
              </w:rPr>
            </w:pPr>
            <w:proofErr w:type="spellStart"/>
            <w:r w:rsidRPr="00871721">
              <w:rPr>
                <w:sz w:val="20"/>
                <w:szCs w:val="20"/>
              </w:rPr>
              <w:t>Holcim</w:t>
            </w:r>
            <w:proofErr w:type="spellEnd"/>
            <w:r w:rsidRPr="00871721">
              <w:rPr>
                <w:sz w:val="20"/>
                <w:szCs w:val="20"/>
              </w:rPr>
              <w:t xml:space="preserve"> (Costa Rica), S.A.</w:t>
            </w:r>
          </w:p>
        </w:tc>
        <w:tc>
          <w:tcPr>
            <w:tcW w:w="3300" w:type="dxa"/>
            <w:tcBorders>
              <w:top w:val="single" w:sz="4" w:space="0" w:color="auto"/>
              <w:left w:val="single" w:sz="8" w:space="0" w:color="000000"/>
              <w:bottom w:val="single" w:sz="4" w:space="0" w:color="000000"/>
              <w:right w:val="single" w:sz="8" w:space="0" w:color="000000"/>
            </w:tcBorders>
            <w:shd w:val="clear" w:color="auto" w:fill="FFFFFF"/>
            <w:vAlign w:val="center"/>
          </w:tcPr>
          <w:p w:rsidR="00E627E7" w:rsidRPr="00871721" w:rsidRDefault="00E627E7" w:rsidP="00E02D6F">
            <w:pPr>
              <w:jc w:val="both"/>
              <w:rPr>
                <w:sz w:val="20"/>
                <w:szCs w:val="20"/>
              </w:rPr>
            </w:pPr>
            <w:r w:rsidRPr="00871721">
              <w:rPr>
                <w:sz w:val="20"/>
                <w:szCs w:val="20"/>
              </w:rPr>
              <w:t xml:space="preserve">Venta de materia prima y producto terminado </w:t>
            </w:r>
          </w:p>
        </w:tc>
        <w:tc>
          <w:tcPr>
            <w:tcW w:w="3480" w:type="dxa"/>
            <w:tcBorders>
              <w:top w:val="single" w:sz="4" w:space="0" w:color="auto"/>
              <w:left w:val="nil"/>
              <w:bottom w:val="single" w:sz="4" w:space="0" w:color="000000"/>
              <w:right w:val="single" w:sz="4" w:space="0" w:color="000000"/>
            </w:tcBorders>
            <w:shd w:val="clear" w:color="auto" w:fill="FFFFFF"/>
            <w:vAlign w:val="center"/>
          </w:tcPr>
          <w:p w:rsidR="00E627E7" w:rsidRPr="00871721" w:rsidRDefault="00E627E7" w:rsidP="00E02D6F">
            <w:pPr>
              <w:jc w:val="both"/>
              <w:rPr>
                <w:sz w:val="20"/>
                <w:szCs w:val="20"/>
              </w:rPr>
            </w:pPr>
            <w:proofErr w:type="spellStart"/>
            <w:r w:rsidRPr="00871721">
              <w:rPr>
                <w:sz w:val="20"/>
                <w:szCs w:val="20"/>
              </w:rPr>
              <w:t>Holcim</w:t>
            </w:r>
            <w:proofErr w:type="spellEnd"/>
            <w:r w:rsidRPr="00871721">
              <w:rPr>
                <w:sz w:val="20"/>
                <w:szCs w:val="20"/>
              </w:rPr>
              <w:t xml:space="preserve"> (Nicaragua), S.A.</w:t>
            </w:r>
          </w:p>
        </w:tc>
      </w:tr>
      <w:tr w:rsidR="00E627E7" w:rsidRPr="00871721" w:rsidTr="00E02D6F">
        <w:trPr>
          <w:trHeight w:val="480"/>
        </w:trPr>
        <w:tc>
          <w:tcPr>
            <w:tcW w:w="3400" w:type="dxa"/>
            <w:tcBorders>
              <w:top w:val="nil"/>
              <w:left w:val="single" w:sz="4" w:space="0" w:color="000000"/>
              <w:bottom w:val="single" w:sz="4" w:space="0" w:color="000000"/>
              <w:right w:val="nil"/>
            </w:tcBorders>
            <w:shd w:val="clear" w:color="auto" w:fill="FFFFFF"/>
            <w:vAlign w:val="center"/>
          </w:tcPr>
          <w:p w:rsidR="00E627E7" w:rsidRPr="00871721" w:rsidRDefault="00E627E7" w:rsidP="00E02D6F">
            <w:pPr>
              <w:jc w:val="both"/>
              <w:rPr>
                <w:color w:val="222222"/>
                <w:sz w:val="20"/>
                <w:szCs w:val="20"/>
              </w:rPr>
            </w:pPr>
            <w:proofErr w:type="spellStart"/>
            <w:r w:rsidRPr="00871721">
              <w:rPr>
                <w:color w:val="222222"/>
                <w:sz w:val="20"/>
                <w:szCs w:val="20"/>
              </w:rPr>
              <w:t>LafargeHolcim</w:t>
            </w:r>
            <w:proofErr w:type="spellEnd"/>
            <w:r w:rsidRPr="00871721">
              <w:rPr>
                <w:color w:val="222222"/>
                <w:sz w:val="20"/>
                <w:szCs w:val="20"/>
              </w:rPr>
              <w:t xml:space="preserve"> </w:t>
            </w:r>
            <w:proofErr w:type="spellStart"/>
            <w:r w:rsidRPr="00871721">
              <w:rPr>
                <w:color w:val="222222"/>
                <w:sz w:val="20"/>
                <w:szCs w:val="20"/>
              </w:rPr>
              <w:t>Ltda</w:t>
            </w:r>
            <w:proofErr w:type="spellEnd"/>
          </w:p>
        </w:tc>
        <w:tc>
          <w:tcPr>
            <w:tcW w:w="3300" w:type="dxa"/>
            <w:tcBorders>
              <w:top w:val="nil"/>
              <w:left w:val="single" w:sz="8" w:space="0" w:color="000000"/>
              <w:bottom w:val="single" w:sz="4" w:space="0" w:color="000000"/>
              <w:right w:val="single" w:sz="8" w:space="0" w:color="000000"/>
            </w:tcBorders>
            <w:shd w:val="clear" w:color="auto" w:fill="FFFFFF"/>
            <w:vAlign w:val="center"/>
          </w:tcPr>
          <w:p w:rsidR="00E627E7" w:rsidRPr="00871721" w:rsidRDefault="00E627E7" w:rsidP="00E02D6F">
            <w:pPr>
              <w:jc w:val="both"/>
              <w:rPr>
                <w:color w:val="222222"/>
                <w:sz w:val="20"/>
                <w:szCs w:val="20"/>
              </w:rPr>
            </w:pPr>
            <w:r w:rsidRPr="00871721">
              <w:rPr>
                <w:color w:val="222222"/>
                <w:sz w:val="20"/>
                <w:szCs w:val="20"/>
              </w:rPr>
              <w:t>Uso de Marca</w:t>
            </w:r>
          </w:p>
        </w:tc>
        <w:tc>
          <w:tcPr>
            <w:tcW w:w="3480" w:type="dxa"/>
            <w:tcBorders>
              <w:top w:val="nil"/>
              <w:left w:val="nil"/>
              <w:bottom w:val="single" w:sz="4" w:space="0" w:color="000000"/>
              <w:right w:val="single" w:sz="4" w:space="0" w:color="000000"/>
            </w:tcBorders>
            <w:shd w:val="clear" w:color="auto" w:fill="FFFFFF"/>
            <w:vAlign w:val="center"/>
          </w:tcPr>
          <w:p w:rsidR="00E627E7" w:rsidRPr="00871721" w:rsidRDefault="00E627E7" w:rsidP="00E02D6F">
            <w:pPr>
              <w:jc w:val="both"/>
              <w:rPr>
                <w:color w:val="222222"/>
                <w:sz w:val="20"/>
                <w:szCs w:val="20"/>
              </w:rPr>
            </w:pPr>
            <w:proofErr w:type="spellStart"/>
            <w:r w:rsidRPr="00871721">
              <w:rPr>
                <w:color w:val="222222"/>
                <w:sz w:val="20"/>
                <w:szCs w:val="20"/>
              </w:rPr>
              <w:t>Holcim</w:t>
            </w:r>
            <w:proofErr w:type="spellEnd"/>
            <w:r w:rsidRPr="00871721">
              <w:rPr>
                <w:color w:val="222222"/>
                <w:sz w:val="20"/>
                <w:szCs w:val="20"/>
              </w:rPr>
              <w:t xml:space="preserve"> (Costa Rica), S.A.</w:t>
            </w:r>
          </w:p>
        </w:tc>
      </w:tr>
      <w:tr w:rsidR="00E627E7" w:rsidRPr="00871721" w:rsidTr="00E02D6F">
        <w:trPr>
          <w:trHeight w:val="480"/>
        </w:trPr>
        <w:tc>
          <w:tcPr>
            <w:tcW w:w="3400" w:type="dxa"/>
            <w:tcBorders>
              <w:top w:val="nil"/>
              <w:left w:val="single" w:sz="4" w:space="0" w:color="000000"/>
              <w:bottom w:val="single" w:sz="4" w:space="0" w:color="000000"/>
              <w:right w:val="nil"/>
            </w:tcBorders>
            <w:shd w:val="clear" w:color="auto" w:fill="FFFFFF"/>
            <w:vAlign w:val="center"/>
          </w:tcPr>
          <w:p w:rsidR="00E627E7" w:rsidRPr="00871721" w:rsidRDefault="00E627E7" w:rsidP="00E02D6F">
            <w:pPr>
              <w:jc w:val="both"/>
              <w:rPr>
                <w:color w:val="222222"/>
                <w:sz w:val="20"/>
                <w:szCs w:val="20"/>
              </w:rPr>
            </w:pPr>
            <w:r w:rsidRPr="00871721">
              <w:rPr>
                <w:color w:val="222222"/>
                <w:sz w:val="20"/>
                <w:szCs w:val="20"/>
              </w:rPr>
              <w:t>LH Solid Fuel</w:t>
            </w:r>
          </w:p>
        </w:tc>
        <w:tc>
          <w:tcPr>
            <w:tcW w:w="3300" w:type="dxa"/>
            <w:tcBorders>
              <w:top w:val="nil"/>
              <w:left w:val="single" w:sz="8" w:space="0" w:color="000000"/>
              <w:bottom w:val="single" w:sz="4" w:space="0" w:color="000000"/>
              <w:right w:val="single" w:sz="8" w:space="0" w:color="000000"/>
            </w:tcBorders>
            <w:shd w:val="clear" w:color="auto" w:fill="FFFFFF"/>
            <w:vAlign w:val="center"/>
          </w:tcPr>
          <w:p w:rsidR="00E627E7" w:rsidRPr="00871721" w:rsidRDefault="00E627E7" w:rsidP="00E02D6F">
            <w:pPr>
              <w:jc w:val="both"/>
              <w:rPr>
                <w:color w:val="222222"/>
                <w:sz w:val="20"/>
                <w:szCs w:val="20"/>
              </w:rPr>
            </w:pPr>
            <w:r w:rsidRPr="00871721">
              <w:rPr>
                <w:color w:val="222222"/>
                <w:sz w:val="20"/>
                <w:szCs w:val="20"/>
              </w:rPr>
              <w:t xml:space="preserve">Compra de </w:t>
            </w:r>
            <w:proofErr w:type="spellStart"/>
            <w:r w:rsidRPr="00871721">
              <w:rPr>
                <w:color w:val="222222"/>
                <w:sz w:val="20"/>
                <w:szCs w:val="20"/>
              </w:rPr>
              <w:t>petcoke</w:t>
            </w:r>
            <w:proofErr w:type="spellEnd"/>
          </w:p>
        </w:tc>
        <w:tc>
          <w:tcPr>
            <w:tcW w:w="3480" w:type="dxa"/>
            <w:tcBorders>
              <w:top w:val="nil"/>
              <w:left w:val="nil"/>
              <w:bottom w:val="single" w:sz="4" w:space="0" w:color="000000"/>
              <w:right w:val="single" w:sz="4" w:space="0" w:color="000000"/>
            </w:tcBorders>
            <w:shd w:val="clear" w:color="auto" w:fill="FFFFFF"/>
            <w:vAlign w:val="center"/>
          </w:tcPr>
          <w:p w:rsidR="00E627E7" w:rsidRPr="00871721" w:rsidRDefault="00E627E7" w:rsidP="00E02D6F">
            <w:pPr>
              <w:jc w:val="both"/>
              <w:rPr>
                <w:color w:val="222222"/>
                <w:sz w:val="20"/>
                <w:szCs w:val="20"/>
              </w:rPr>
            </w:pPr>
            <w:proofErr w:type="spellStart"/>
            <w:r w:rsidRPr="00871721">
              <w:rPr>
                <w:color w:val="222222"/>
                <w:sz w:val="20"/>
                <w:szCs w:val="20"/>
              </w:rPr>
              <w:t>Holcim</w:t>
            </w:r>
            <w:proofErr w:type="spellEnd"/>
            <w:r w:rsidRPr="00871721">
              <w:rPr>
                <w:color w:val="222222"/>
                <w:sz w:val="20"/>
                <w:szCs w:val="20"/>
              </w:rPr>
              <w:t xml:space="preserve"> (Costa Rica), S.A.</w:t>
            </w:r>
          </w:p>
        </w:tc>
      </w:tr>
      <w:tr w:rsidR="00E627E7" w:rsidRPr="00871721" w:rsidTr="00E02D6F">
        <w:trPr>
          <w:trHeight w:val="480"/>
        </w:trPr>
        <w:tc>
          <w:tcPr>
            <w:tcW w:w="3400" w:type="dxa"/>
            <w:tcBorders>
              <w:top w:val="nil"/>
              <w:left w:val="single" w:sz="4" w:space="0" w:color="000000"/>
              <w:bottom w:val="single" w:sz="4" w:space="0" w:color="000000"/>
              <w:right w:val="nil"/>
            </w:tcBorders>
            <w:shd w:val="clear" w:color="auto" w:fill="FFFFFF"/>
            <w:vAlign w:val="center"/>
          </w:tcPr>
          <w:p w:rsidR="00E627E7" w:rsidRPr="00871721" w:rsidRDefault="00E627E7" w:rsidP="00E02D6F">
            <w:pPr>
              <w:jc w:val="both"/>
              <w:rPr>
                <w:color w:val="222222"/>
                <w:sz w:val="20"/>
                <w:szCs w:val="20"/>
              </w:rPr>
            </w:pPr>
            <w:proofErr w:type="spellStart"/>
            <w:r w:rsidRPr="00871721">
              <w:rPr>
                <w:color w:val="222222"/>
                <w:sz w:val="20"/>
                <w:szCs w:val="20"/>
              </w:rPr>
              <w:t>Holcrest</w:t>
            </w:r>
            <w:proofErr w:type="spellEnd"/>
            <w:r w:rsidRPr="00871721">
              <w:rPr>
                <w:color w:val="222222"/>
                <w:sz w:val="20"/>
                <w:szCs w:val="20"/>
              </w:rPr>
              <w:t xml:space="preserve"> S.A.S.</w:t>
            </w:r>
          </w:p>
        </w:tc>
        <w:tc>
          <w:tcPr>
            <w:tcW w:w="3300" w:type="dxa"/>
            <w:tcBorders>
              <w:top w:val="nil"/>
              <w:left w:val="single" w:sz="8" w:space="0" w:color="000000"/>
              <w:bottom w:val="single" w:sz="4" w:space="0" w:color="000000"/>
              <w:right w:val="single" w:sz="8" w:space="0" w:color="000000"/>
            </w:tcBorders>
            <w:shd w:val="clear" w:color="auto" w:fill="FFFFFF"/>
            <w:vAlign w:val="center"/>
          </w:tcPr>
          <w:p w:rsidR="00E627E7" w:rsidRPr="00871721" w:rsidRDefault="00E627E7" w:rsidP="00E02D6F">
            <w:pPr>
              <w:jc w:val="both"/>
              <w:rPr>
                <w:color w:val="222222"/>
                <w:sz w:val="20"/>
                <w:szCs w:val="20"/>
              </w:rPr>
            </w:pPr>
            <w:r w:rsidRPr="00871721">
              <w:rPr>
                <w:color w:val="222222"/>
                <w:sz w:val="20"/>
                <w:szCs w:val="20"/>
              </w:rPr>
              <w:t>Servicios Transaccionales</w:t>
            </w:r>
          </w:p>
        </w:tc>
        <w:tc>
          <w:tcPr>
            <w:tcW w:w="3480" w:type="dxa"/>
            <w:tcBorders>
              <w:top w:val="nil"/>
              <w:left w:val="nil"/>
              <w:bottom w:val="single" w:sz="4" w:space="0" w:color="000000"/>
              <w:right w:val="single" w:sz="4" w:space="0" w:color="000000"/>
            </w:tcBorders>
            <w:shd w:val="clear" w:color="auto" w:fill="FFFFFF"/>
            <w:vAlign w:val="center"/>
          </w:tcPr>
          <w:p w:rsidR="00E627E7" w:rsidRPr="00871721" w:rsidRDefault="00E627E7" w:rsidP="00E02D6F">
            <w:pPr>
              <w:jc w:val="both"/>
              <w:rPr>
                <w:color w:val="222222"/>
                <w:sz w:val="20"/>
                <w:szCs w:val="20"/>
              </w:rPr>
            </w:pPr>
            <w:proofErr w:type="spellStart"/>
            <w:r w:rsidRPr="00871721">
              <w:rPr>
                <w:color w:val="222222"/>
                <w:sz w:val="20"/>
                <w:szCs w:val="20"/>
              </w:rPr>
              <w:t>Holcim</w:t>
            </w:r>
            <w:proofErr w:type="spellEnd"/>
            <w:r w:rsidRPr="00871721">
              <w:rPr>
                <w:color w:val="222222"/>
                <w:sz w:val="20"/>
                <w:szCs w:val="20"/>
              </w:rPr>
              <w:t xml:space="preserve"> (Costa Rica), S.A.</w:t>
            </w:r>
          </w:p>
        </w:tc>
      </w:tr>
      <w:tr w:rsidR="00E627E7" w:rsidRPr="00871721" w:rsidTr="00E02D6F">
        <w:trPr>
          <w:trHeight w:val="480"/>
        </w:trPr>
        <w:tc>
          <w:tcPr>
            <w:tcW w:w="3400" w:type="dxa"/>
            <w:tcBorders>
              <w:top w:val="nil"/>
              <w:left w:val="single" w:sz="4" w:space="0" w:color="000000"/>
              <w:bottom w:val="single" w:sz="4" w:space="0" w:color="000000"/>
              <w:right w:val="nil"/>
            </w:tcBorders>
            <w:shd w:val="clear" w:color="auto" w:fill="FFFFFF"/>
            <w:vAlign w:val="center"/>
          </w:tcPr>
          <w:p w:rsidR="00E627E7" w:rsidRPr="00871721" w:rsidRDefault="00E627E7" w:rsidP="00E02D6F">
            <w:pPr>
              <w:jc w:val="both"/>
              <w:rPr>
                <w:color w:val="222222"/>
                <w:sz w:val="20"/>
                <w:szCs w:val="20"/>
              </w:rPr>
            </w:pPr>
            <w:proofErr w:type="spellStart"/>
            <w:r w:rsidRPr="00871721">
              <w:rPr>
                <w:color w:val="222222"/>
                <w:sz w:val="20"/>
                <w:szCs w:val="20"/>
              </w:rPr>
              <w:t>Holcim</w:t>
            </w:r>
            <w:proofErr w:type="spellEnd"/>
            <w:r w:rsidRPr="00871721">
              <w:rPr>
                <w:color w:val="222222"/>
                <w:sz w:val="20"/>
                <w:szCs w:val="20"/>
              </w:rPr>
              <w:t xml:space="preserve"> </w:t>
            </w:r>
            <w:proofErr w:type="spellStart"/>
            <w:r w:rsidRPr="00871721">
              <w:rPr>
                <w:color w:val="222222"/>
                <w:sz w:val="20"/>
                <w:szCs w:val="20"/>
              </w:rPr>
              <w:t>Technology</w:t>
            </w:r>
            <w:proofErr w:type="spellEnd"/>
            <w:r w:rsidRPr="00871721">
              <w:rPr>
                <w:color w:val="222222"/>
                <w:sz w:val="20"/>
                <w:szCs w:val="20"/>
              </w:rPr>
              <w:t xml:space="preserve">, Ltd. </w:t>
            </w:r>
          </w:p>
        </w:tc>
        <w:tc>
          <w:tcPr>
            <w:tcW w:w="3300" w:type="dxa"/>
            <w:tcBorders>
              <w:top w:val="nil"/>
              <w:left w:val="single" w:sz="8" w:space="0" w:color="000000"/>
              <w:bottom w:val="single" w:sz="4" w:space="0" w:color="000000"/>
              <w:right w:val="single" w:sz="8" w:space="0" w:color="000000"/>
            </w:tcBorders>
            <w:shd w:val="clear" w:color="auto" w:fill="FFFFFF"/>
            <w:vAlign w:val="center"/>
          </w:tcPr>
          <w:p w:rsidR="00E627E7" w:rsidRPr="00871721" w:rsidRDefault="00E627E7" w:rsidP="00E02D6F">
            <w:pPr>
              <w:jc w:val="both"/>
              <w:rPr>
                <w:color w:val="222222"/>
                <w:sz w:val="20"/>
                <w:szCs w:val="20"/>
              </w:rPr>
            </w:pPr>
            <w:r w:rsidRPr="00871721">
              <w:rPr>
                <w:color w:val="222222"/>
                <w:sz w:val="20"/>
                <w:szCs w:val="20"/>
              </w:rPr>
              <w:t>Uso del Business Concept (IFF)</w:t>
            </w:r>
          </w:p>
        </w:tc>
        <w:tc>
          <w:tcPr>
            <w:tcW w:w="3480" w:type="dxa"/>
            <w:tcBorders>
              <w:top w:val="nil"/>
              <w:left w:val="nil"/>
              <w:bottom w:val="single" w:sz="4" w:space="0" w:color="000000"/>
              <w:right w:val="single" w:sz="4" w:space="0" w:color="000000"/>
            </w:tcBorders>
            <w:shd w:val="clear" w:color="auto" w:fill="FFFFFF"/>
            <w:vAlign w:val="center"/>
          </w:tcPr>
          <w:p w:rsidR="00E627E7" w:rsidRPr="00871721" w:rsidRDefault="00E627E7" w:rsidP="00E02D6F">
            <w:pPr>
              <w:jc w:val="both"/>
              <w:rPr>
                <w:color w:val="222222"/>
                <w:sz w:val="20"/>
                <w:szCs w:val="20"/>
              </w:rPr>
            </w:pPr>
            <w:proofErr w:type="spellStart"/>
            <w:r w:rsidRPr="00871721">
              <w:rPr>
                <w:color w:val="222222"/>
                <w:sz w:val="20"/>
                <w:szCs w:val="20"/>
              </w:rPr>
              <w:t>Holcim</w:t>
            </w:r>
            <w:proofErr w:type="spellEnd"/>
            <w:r w:rsidRPr="00871721">
              <w:rPr>
                <w:color w:val="222222"/>
                <w:sz w:val="20"/>
                <w:szCs w:val="20"/>
              </w:rPr>
              <w:t xml:space="preserve"> (Costa Rica), S.A.</w:t>
            </w:r>
          </w:p>
        </w:tc>
      </w:tr>
      <w:tr w:rsidR="00E627E7" w:rsidRPr="00871721" w:rsidTr="00E02D6F">
        <w:trPr>
          <w:trHeight w:val="480"/>
        </w:trPr>
        <w:tc>
          <w:tcPr>
            <w:tcW w:w="3400" w:type="dxa"/>
            <w:tcBorders>
              <w:top w:val="nil"/>
              <w:left w:val="single" w:sz="4" w:space="0" w:color="000000"/>
              <w:bottom w:val="single" w:sz="4" w:space="0" w:color="000000"/>
              <w:right w:val="nil"/>
            </w:tcBorders>
            <w:shd w:val="clear" w:color="auto" w:fill="FFFFFF"/>
            <w:vAlign w:val="center"/>
          </w:tcPr>
          <w:p w:rsidR="00E627E7" w:rsidRPr="00871721" w:rsidRDefault="00E627E7" w:rsidP="00E02D6F">
            <w:pPr>
              <w:jc w:val="both"/>
              <w:rPr>
                <w:color w:val="222222"/>
                <w:sz w:val="20"/>
                <w:szCs w:val="20"/>
              </w:rPr>
            </w:pPr>
            <w:proofErr w:type="spellStart"/>
            <w:r w:rsidRPr="00871721">
              <w:rPr>
                <w:color w:val="222222"/>
                <w:sz w:val="20"/>
                <w:szCs w:val="20"/>
              </w:rPr>
              <w:t>Holcim</w:t>
            </w:r>
            <w:proofErr w:type="spellEnd"/>
            <w:r w:rsidRPr="00871721">
              <w:rPr>
                <w:color w:val="222222"/>
                <w:sz w:val="20"/>
                <w:szCs w:val="20"/>
              </w:rPr>
              <w:t xml:space="preserve"> </w:t>
            </w:r>
            <w:proofErr w:type="spellStart"/>
            <w:r w:rsidRPr="00871721">
              <w:rPr>
                <w:color w:val="222222"/>
                <w:sz w:val="20"/>
                <w:szCs w:val="20"/>
              </w:rPr>
              <w:t>Group</w:t>
            </w:r>
            <w:proofErr w:type="spellEnd"/>
            <w:r w:rsidRPr="00871721">
              <w:rPr>
                <w:color w:val="222222"/>
                <w:sz w:val="20"/>
                <w:szCs w:val="20"/>
              </w:rPr>
              <w:t xml:space="preserve"> </w:t>
            </w:r>
            <w:proofErr w:type="spellStart"/>
            <w:r w:rsidRPr="00871721">
              <w:rPr>
                <w:color w:val="222222"/>
                <w:sz w:val="20"/>
                <w:szCs w:val="20"/>
              </w:rPr>
              <w:t>Services</w:t>
            </w:r>
            <w:proofErr w:type="spellEnd"/>
            <w:r w:rsidRPr="00871721">
              <w:rPr>
                <w:color w:val="222222"/>
                <w:sz w:val="20"/>
                <w:szCs w:val="20"/>
              </w:rPr>
              <w:t>, Ltd.</w:t>
            </w:r>
          </w:p>
        </w:tc>
        <w:tc>
          <w:tcPr>
            <w:tcW w:w="3300" w:type="dxa"/>
            <w:tcBorders>
              <w:top w:val="nil"/>
              <w:left w:val="single" w:sz="8" w:space="0" w:color="000000"/>
              <w:bottom w:val="single" w:sz="4" w:space="0" w:color="000000"/>
              <w:right w:val="single" w:sz="8" w:space="0" w:color="000000"/>
            </w:tcBorders>
            <w:shd w:val="clear" w:color="auto" w:fill="FFFFFF"/>
            <w:vAlign w:val="center"/>
          </w:tcPr>
          <w:p w:rsidR="00E627E7" w:rsidRPr="00871721" w:rsidRDefault="00E627E7" w:rsidP="00E02D6F">
            <w:pPr>
              <w:jc w:val="both"/>
              <w:rPr>
                <w:color w:val="222222"/>
                <w:sz w:val="20"/>
                <w:szCs w:val="20"/>
              </w:rPr>
            </w:pPr>
            <w:r w:rsidRPr="00871721">
              <w:rPr>
                <w:color w:val="222222"/>
                <w:sz w:val="20"/>
                <w:szCs w:val="20"/>
              </w:rPr>
              <w:t>Licencias</w:t>
            </w:r>
          </w:p>
        </w:tc>
        <w:tc>
          <w:tcPr>
            <w:tcW w:w="3480" w:type="dxa"/>
            <w:tcBorders>
              <w:top w:val="nil"/>
              <w:left w:val="nil"/>
              <w:bottom w:val="single" w:sz="4" w:space="0" w:color="000000"/>
              <w:right w:val="single" w:sz="4" w:space="0" w:color="000000"/>
            </w:tcBorders>
            <w:shd w:val="clear" w:color="auto" w:fill="FFFFFF"/>
            <w:vAlign w:val="center"/>
          </w:tcPr>
          <w:p w:rsidR="00E627E7" w:rsidRPr="00871721" w:rsidRDefault="00E627E7" w:rsidP="00E02D6F">
            <w:pPr>
              <w:jc w:val="both"/>
              <w:rPr>
                <w:color w:val="222222"/>
                <w:sz w:val="20"/>
                <w:szCs w:val="20"/>
              </w:rPr>
            </w:pPr>
            <w:proofErr w:type="spellStart"/>
            <w:r w:rsidRPr="00871721">
              <w:rPr>
                <w:color w:val="222222"/>
                <w:sz w:val="20"/>
                <w:szCs w:val="20"/>
              </w:rPr>
              <w:t>Holcim</w:t>
            </w:r>
            <w:proofErr w:type="spellEnd"/>
            <w:r w:rsidRPr="00871721">
              <w:rPr>
                <w:color w:val="222222"/>
                <w:sz w:val="20"/>
                <w:szCs w:val="20"/>
              </w:rPr>
              <w:t xml:space="preserve"> (Costa Rica), S.A.</w:t>
            </w:r>
          </w:p>
        </w:tc>
      </w:tr>
      <w:tr w:rsidR="00E627E7" w:rsidRPr="00871721" w:rsidTr="00E02D6F">
        <w:trPr>
          <w:trHeight w:val="480"/>
        </w:trPr>
        <w:tc>
          <w:tcPr>
            <w:tcW w:w="3400" w:type="dxa"/>
            <w:tcBorders>
              <w:top w:val="nil"/>
              <w:left w:val="single" w:sz="4" w:space="0" w:color="000000"/>
              <w:bottom w:val="single" w:sz="4" w:space="0" w:color="000000"/>
              <w:right w:val="nil"/>
            </w:tcBorders>
            <w:shd w:val="clear" w:color="auto" w:fill="FFFFFF"/>
            <w:vAlign w:val="center"/>
          </w:tcPr>
          <w:p w:rsidR="00E627E7" w:rsidRPr="00871721" w:rsidRDefault="00E627E7" w:rsidP="00E02D6F">
            <w:pPr>
              <w:jc w:val="both"/>
              <w:rPr>
                <w:color w:val="222222"/>
                <w:sz w:val="20"/>
                <w:szCs w:val="20"/>
              </w:rPr>
            </w:pPr>
            <w:proofErr w:type="spellStart"/>
            <w:r w:rsidRPr="00871721">
              <w:rPr>
                <w:color w:val="222222"/>
                <w:sz w:val="20"/>
                <w:szCs w:val="20"/>
              </w:rPr>
              <w:t>Holcim</w:t>
            </w:r>
            <w:proofErr w:type="spellEnd"/>
            <w:r w:rsidRPr="00871721">
              <w:rPr>
                <w:color w:val="222222"/>
                <w:sz w:val="20"/>
                <w:szCs w:val="20"/>
              </w:rPr>
              <w:t xml:space="preserve"> (El Salvador), S.A.</w:t>
            </w:r>
          </w:p>
        </w:tc>
        <w:tc>
          <w:tcPr>
            <w:tcW w:w="3300" w:type="dxa"/>
            <w:tcBorders>
              <w:top w:val="nil"/>
              <w:left w:val="single" w:sz="8" w:space="0" w:color="000000"/>
              <w:bottom w:val="single" w:sz="4" w:space="0" w:color="000000"/>
              <w:right w:val="single" w:sz="8" w:space="0" w:color="000000"/>
            </w:tcBorders>
            <w:shd w:val="clear" w:color="auto" w:fill="FFFFFF"/>
            <w:vAlign w:val="center"/>
          </w:tcPr>
          <w:p w:rsidR="00E627E7" w:rsidRPr="00871721" w:rsidRDefault="00E627E7" w:rsidP="00E02D6F">
            <w:pPr>
              <w:jc w:val="both"/>
              <w:rPr>
                <w:color w:val="222222"/>
                <w:sz w:val="20"/>
                <w:szCs w:val="20"/>
              </w:rPr>
            </w:pPr>
            <w:r w:rsidRPr="00871721">
              <w:rPr>
                <w:color w:val="222222"/>
                <w:sz w:val="20"/>
                <w:szCs w:val="20"/>
              </w:rPr>
              <w:t>Servicios</w:t>
            </w:r>
          </w:p>
        </w:tc>
        <w:tc>
          <w:tcPr>
            <w:tcW w:w="3480" w:type="dxa"/>
            <w:tcBorders>
              <w:top w:val="nil"/>
              <w:left w:val="nil"/>
              <w:bottom w:val="single" w:sz="4" w:space="0" w:color="000000"/>
              <w:right w:val="single" w:sz="4" w:space="0" w:color="000000"/>
            </w:tcBorders>
            <w:shd w:val="clear" w:color="auto" w:fill="FFFFFF"/>
            <w:vAlign w:val="center"/>
          </w:tcPr>
          <w:p w:rsidR="00E627E7" w:rsidRPr="00871721" w:rsidRDefault="00E627E7" w:rsidP="00E02D6F">
            <w:pPr>
              <w:jc w:val="both"/>
              <w:rPr>
                <w:color w:val="222222"/>
                <w:sz w:val="20"/>
                <w:szCs w:val="20"/>
              </w:rPr>
            </w:pPr>
            <w:proofErr w:type="spellStart"/>
            <w:r w:rsidRPr="00871721">
              <w:rPr>
                <w:color w:val="222222"/>
                <w:sz w:val="20"/>
                <w:szCs w:val="20"/>
              </w:rPr>
              <w:t>Holcim</w:t>
            </w:r>
            <w:proofErr w:type="spellEnd"/>
            <w:r w:rsidRPr="00871721">
              <w:rPr>
                <w:color w:val="222222"/>
                <w:sz w:val="20"/>
                <w:szCs w:val="20"/>
              </w:rPr>
              <w:t xml:space="preserve"> (Costa Rica), S.A.</w:t>
            </w:r>
          </w:p>
        </w:tc>
      </w:tr>
      <w:tr w:rsidR="00E627E7" w:rsidRPr="00871721" w:rsidTr="00E02D6F">
        <w:trPr>
          <w:trHeight w:val="480"/>
        </w:trPr>
        <w:tc>
          <w:tcPr>
            <w:tcW w:w="3400" w:type="dxa"/>
            <w:tcBorders>
              <w:top w:val="nil"/>
              <w:left w:val="single" w:sz="4" w:space="0" w:color="000000"/>
              <w:bottom w:val="single" w:sz="4" w:space="0" w:color="000000"/>
              <w:right w:val="nil"/>
            </w:tcBorders>
            <w:shd w:val="clear" w:color="auto" w:fill="FFFFFF"/>
            <w:vAlign w:val="center"/>
          </w:tcPr>
          <w:p w:rsidR="00E627E7" w:rsidRPr="00871721" w:rsidRDefault="00E627E7" w:rsidP="00E02D6F">
            <w:pPr>
              <w:jc w:val="both"/>
              <w:rPr>
                <w:color w:val="222222"/>
                <w:sz w:val="20"/>
                <w:szCs w:val="20"/>
              </w:rPr>
            </w:pPr>
            <w:r w:rsidRPr="00871721">
              <w:rPr>
                <w:color w:val="222222"/>
                <w:sz w:val="20"/>
                <w:szCs w:val="20"/>
              </w:rPr>
              <w:t>LH Trading, S.A.</w:t>
            </w:r>
          </w:p>
        </w:tc>
        <w:tc>
          <w:tcPr>
            <w:tcW w:w="3300" w:type="dxa"/>
            <w:tcBorders>
              <w:top w:val="nil"/>
              <w:left w:val="single" w:sz="8" w:space="0" w:color="000000"/>
              <w:bottom w:val="single" w:sz="4" w:space="0" w:color="000000"/>
              <w:right w:val="single" w:sz="8" w:space="0" w:color="000000"/>
            </w:tcBorders>
            <w:shd w:val="clear" w:color="auto" w:fill="FFFFFF"/>
            <w:vAlign w:val="center"/>
          </w:tcPr>
          <w:p w:rsidR="00E627E7" w:rsidRPr="00871721" w:rsidRDefault="00E627E7" w:rsidP="00E02D6F">
            <w:pPr>
              <w:jc w:val="both"/>
              <w:rPr>
                <w:color w:val="222222"/>
                <w:sz w:val="20"/>
                <w:szCs w:val="20"/>
              </w:rPr>
            </w:pPr>
            <w:r w:rsidRPr="00871721">
              <w:rPr>
                <w:color w:val="222222"/>
                <w:sz w:val="20"/>
                <w:szCs w:val="20"/>
              </w:rPr>
              <w:t>Materias Primas</w:t>
            </w:r>
          </w:p>
        </w:tc>
        <w:tc>
          <w:tcPr>
            <w:tcW w:w="3480" w:type="dxa"/>
            <w:tcBorders>
              <w:top w:val="nil"/>
              <w:left w:val="nil"/>
              <w:bottom w:val="single" w:sz="4" w:space="0" w:color="000000"/>
              <w:right w:val="single" w:sz="4" w:space="0" w:color="000000"/>
            </w:tcBorders>
            <w:shd w:val="clear" w:color="auto" w:fill="FFFFFF"/>
            <w:vAlign w:val="center"/>
          </w:tcPr>
          <w:p w:rsidR="00E627E7" w:rsidRPr="00871721" w:rsidRDefault="00E627E7" w:rsidP="00E02D6F">
            <w:pPr>
              <w:jc w:val="both"/>
              <w:rPr>
                <w:color w:val="222222"/>
                <w:sz w:val="20"/>
                <w:szCs w:val="20"/>
              </w:rPr>
            </w:pPr>
            <w:proofErr w:type="spellStart"/>
            <w:r w:rsidRPr="00871721">
              <w:rPr>
                <w:color w:val="222222"/>
                <w:sz w:val="20"/>
                <w:szCs w:val="20"/>
              </w:rPr>
              <w:t>Holcim</w:t>
            </w:r>
            <w:proofErr w:type="spellEnd"/>
            <w:r w:rsidRPr="00871721">
              <w:rPr>
                <w:color w:val="222222"/>
                <w:sz w:val="20"/>
                <w:szCs w:val="20"/>
              </w:rPr>
              <w:t xml:space="preserve"> (Costa Rica), S.A.</w:t>
            </w:r>
          </w:p>
        </w:tc>
      </w:tr>
      <w:tr w:rsidR="00E627E7" w:rsidRPr="00871721" w:rsidTr="00E02D6F">
        <w:trPr>
          <w:trHeight w:val="480"/>
        </w:trPr>
        <w:tc>
          <w:tcPr>
            <w:tcW w:w="3400" w:type="dxa"/>
            <w:tcBorders>
              <w:top w:val="nil"/>
              <w:left w:val="single" w:sz="4" w:space="0" w:color="000000"/>
              <w:bottom w:val="single" w:sz="4" w:space="0" w:color="000000"/>
              <w:right w:val="nil"/>
            </w:tcBorders>
            <w:shd w:val="clear" w:color="auto" w:fill="FFFFFF"/>
            <w:vAlign w:val="center"/>
          </w:tcPr>
          <w:p w:rsidR="00E627E7" w:rsidRPr="00871721" w:rsidRDefault="00E627E7" w:rsidP="00E02D6F">
            <w:pPr>
              <w:jc w:val="both"/>
              <w:rPr>
                <w:color w:val="222222"/>
                <w:sz w:val="20"/>
                <w:szCs w:val="20"/>
              </w:rPr>
            </w:pPr>
            <w:proofErr w:type="spellStart"/>
            <w:r w:rsidRPr="00871721">
              <w:rPr>
                <w:color w:val="222222"/>
                <w:sz w:val="20"/>
                <w:szCs w:val="20"/>
              </w:rPr>
              <w:t>Holcim</w:t>
            </w:r>
            <w:proofErr w:type="spellEnd"/>
            <w:r w:rsidRPr="00871721">
              <w:rPr>
                <w:color w:val="222222"/>
                <w:sz w:val="20"/>
                <w:szCs w:val="20"/>
              </w:rPr>
              <w:t xml:space="preserve"> Concretos El Salvador, S.A. de C.V.</w:t>
            </w:r>
          </w:p>
        </w:tc>
        <w:tc>
          <w:tcPr>
            <w:tcW w:w="3300" w:type="dxa"/>
            <w:tcBorders>
              <w:top w:val="nil"/>
              <w:left w:val="single" w:sz="8" w:space="0" w:color="000000"/>
              <w:bottom w:val="single" w:sz="4" w:space="0" w:color="000000"/>
              <w:right w:val="single" w:sz="8" w:space="0" w:color="000000"/>
            </w:tcBorders>
            <w:shd w:val="clear" w:color="auto" w:fill="FFFFFF"/>
            <w:vAlign w:val="center"/>
          </w:tcPr>
          <w:p w:rsidR="00E627E7" w:rsidRPr="00871721" w:rsidRDefault="00E627E7" w:rsidP="00E02D6F">
            <w:pPr>
              <w:jc w:val="both"/>
              <w:rPr>
                <w:color w:val="222222"/>
                <w:sz w:val="20"/>
                <w:szCs w:val="20"/>
              </w:rPr>
            </w:pPr>
            <w:r w:rsidRPr="00871721">
              <w:rPr>
                <w:color w:val="222222"/>
                <w:sz w:val="20"/>
                <w:szCs w:val="20"/>
              </w:rPr>
              <w:t>Reintegro de gastos</w:t>
            </w:r>
          </w:p>
        </w:tc>
        <w:tc>
          <w:tcPr>
            <w:tcW w:w="3480" w:type="dxa"/>
            <w:tcBorders>
              <w:top w:val="nil"/>
              <w:left w:val="nil"/>
              <w:bottom w:val="single" w:sz="4" w:space="0" w:color="000000"/>
              <w:right w:val="single" w:sz="4" w:space="0" w:color="000000"/>
            </w:tcBorders>
            <w:shd w:val="clear" w:color="auto" w:fill="FFFFFF"/>
            <w:vAlign w:val="center"/>
          </w:tcPr>
          <w:p w:rsidR="00E627E7" w:rsidRPr="00871721" w:rsidRDefault="00E627E7" w:rsidP="00E02D6F">
            <w:pPr>
              <w:jc w:val="both"/>
              <w:rPr>
                <w:color w:val="222222"/>
                <w:sz w:val="20"/>
                <w:szCs w:val="20"/>
              </w:rPr>
            </w:pPr>
            <w:proofErr w:type="spellStart"/>
            <w:r w:rsidRPr="00871721">
              <w:rPr>
                <w:color w:val="222222"/>
                <w:sz w:val="20"/>
                <w:szCs w:val="20"/>
              </w:rPr>
              <w:t>Holcim</w:t>
            </w:r>
            <w:proofErr w:type="spellEnd"/>
            <w:r w:rsidRPr="00871721">
              <w:rPr>
                <w:color w:val="222222"/>
                <w:sz w:val="20"/>
                <w:szCs w:val="20"/>
              </w:rPr>
              <w:t xml:space="preserve"> (Costa Rica), S.A.</w:t>
            </w:r>
          </w:p>
        </w:tc>
      </w:tr>
    </w:tbl>
    <w:p w:rsidR="00E627E7" w:rsidRPr="00871721" w:rsidRDefault="00E627E7" w:rsidP="00E627E7">
      <w:pPr>
        <w:jc w:val="both"/>
      </w:pPr>
    </w:p>
    <w:p w:rsidR="00E627E7" w:rsidRDefault="00E627E7" w:rsidP="00E627E7">
      <w:pPr>
        <w:rPr>
          <w:b/>
          <w:sz w:val="24"/>
          <w:szCs w:val="24"/>
        </w:rPr>
      </w:pPr>
    </w:p>
    <w:p w:rsidR="00E627E7" w:rsidRDefault="00E627E7" w:rsidP="00E627E7">
      <w:pPr>
        <w:rPr>
          <w:b/>
          <w:sz w:val="24"/>
          <w:szCs w:val="24"/>
        </w:rPr>
      </w:pPr>
    </w:p>
    <w:p w:rsidR="00E627E7" w:rsidRPr="00871721" w:rsidRDefault="00E627E7" w:rsidP="00E627E7">
      <w:pPr>
        <w:rPr>
          <w:b/>
          <w:sz w:val="24"/>
          <w:szCs w:val="24"/>
        </w:rPr>
      </w:pPr>
      <w:r w:rsidRPr="00871721">
        <w:rPr>
          <w:b/>
          <w:sz w:val="24"/>
          <w:szCs w:val="24"/>
        </w:rPr>
        <w:t>Participaciones de asesores y consejeros</w:t>
      </w:r>
    </w:p>
    <w:p w:rsidR="00E627E7" w:rsidRPr="00871721" w:rsidRDefault="00E627E7" w:rsidP="00E627E7">
      <w:pPr>
        <w:spacing w:before="60" w:after="60"/>
        <w:jc w:val="both"/>
      </w:pPr>
    </w:p>
    <w:p w:rsidR="00E627E7" w:rsidRPr="00871721" w:rsidRDefault="00E627E7" w:rsidP="00E627E7">
      <w:pPr>
        <w:spacing w:before="60" w:after="60"/>
        <w:jc w:val="both"/>
        <w:rPr>
          <w:sz w:val="20"/>
          <w:szCs w:val="20"/>
        </w:rPr>
      </w:pPr>
      <w:r w:rsidRPr="00871721">
        <w:t xml:space="preserve">No se tiene ningún tipo de relación entre </w:t>
      </w:r>
      <w:proofErr w:type="spellStart"/>
      <w:r w:rsidRPr="00871721">
        <w:t>Holcim</w:t>
      </w:r>
      <w:proofErr w:type="spellEnd"/>
      <w:r w:rsidRPr="00871721">
        <w:t xml:space="preserve"> (Costa Rica), S.A y expertos o asesores en la prestación de servicios respecto a la solicitud de registro de valores objeto de oferta pública.</w:t>
      </w:r>
    </w:p>
    <w:p w:rsidR="00E627E7" w:rsidRPr="00871721" w:rsidRDefault="00E627E7" w:rsidP="00E627E7">
      <w:pPr>
        <w:rPr>
          <w:sz w:val="18"/>
          <w:szCs w:val="18"/>
          <w:shd w:val="clear" w:color="auto" w:fill="F6B26B"/>
        </w:rPr>
      </w:pPr>
      <w:r w:rsidRPr="00871721">
        <w:br w:type="page"/>
      </w:r>
    </w:p>
    <w:p w:rsidR="00E627E7" w:rsidRPr="00871721" w:rsidRDefault="00E627E7" w:rsidP="00E627E7">
      <w:pPr>
        <w:keepNext/>
        <w:jc w:val="center"/>
        <w:rPr>
          <w:b/>
          <w:sz w:val="28"/>
          <w:szCs w:val="28"/>
        </w:rPr>
      </w:pPr>
      <w:r w:rsidRPr="00871721">
        <w:rPr>
          <w:b/>
          <w:sz w:val="28"/>
          <w:szCs w:val="28"/>
        </w:rPr>
        <w:t>CAPÍTULO VII</w:t>
      </w:r>
    </w:p>
    <w:p w:rsidR="00E627E7" w:rsidRPr="00871721" w:rsidRDefault="00E627E7" w:rsidP="00E627E7">
      <w:pPr>
        <w:jc w:val="both"/>
      </w:pPr>
    </w:p>
    <w:p w:rsidR="00E627E7" w:rsidRPr="00871721" w:rsidRDefault="00E627E7" w:rsidP="00E627E7">
      <w:pPr>
        <w:rPr>
          <w:b/>
          <w:sz w:val="24"/>
          <w:szCs w:val="24"/>
        </w:rPr>
      </w:pPr>
      <w:r w:rsidRPr="00871721">
        <w:rPr>
          <w:b/>
          <w:sz w:val="24"/>
          <w:szCs w:val="24"/>
        </w:rPr>
        <w:t>INFORMACIÓN FINANCIERA</w:t>
      </w:r>
    </w:p>
    <w:p w:rsidR="00E627E7" w:rsidRPr="00871721" w:rsidRDefault="00E627E7" w:rsidP="00E627E7">
      <w:pPr>
        <w:jc w:val="both"/>
      </w:pPr>
    </w:p>
    <w:p w:rsidR="00E627E7" w:rsidRPr="00871721" w:rsidRDefault="00E627E7" w:rsidP="00E627E7">
      <w:pPr>
        <w:jc w:val="both"/>
      </w:pPr>
      <w:r w:rsidRPr="00871721">
        <w:t>Señor inversionista, la siguiente información sobre la empresa y su situación financiera estará a disposición en la empresa emisora y en la Superintendencia General de Valores:</w:t>
      </w:r>
    </w:p>
    <w:p w:rsidR="00E627E7" w:rsidRPr="00871721" w:rsidRDefault="00E627E7" w:rsidP="00E627E7"/>
    <w:p w:rsidR="00E627E7" w:rsidRPr="00871721" w:rsidRDefault="00E627E7" w:rsidP="00E627E7">
      <w:pPr>
        <w:numPr>
          <w:ilvl w:val="0"/>
          <w:numId w:val="5"/>
        </w:numPr>
        <w:jc w:val="both"/>
      </w:pPr>
      <w:r w:rsidRPr="00871721">
        <w:t>Hechos Relevantes en el momento en que la empresa tenga conocimiento de los mismos los hará del conocimiento público.  Esta información estará disponible en la página en internet de la Empresa en la dirección www.holcim.cr.</w:t>
      </w:r>
    </w:p>
    <w:p w:rsidR="00E627E7" w:rsidRPr="00871721" w:rsidRDefault="00E627E7" w:rsidP="00E627E7">
      <w:pPr>
        <w:jc w:val="both"/>
      </w:pPr>
    </w:p>
    <w:p w:rsidR="00E627E7" w:rsidRPr="00871721" w:rsidRDefault="00E627E7" w:rsidP="00E627E7">
      <w:pPr>
        <w:numPr>
          <w:ilvl w:val="0"/>
          <w:numId w:val="5"/>
        </w:numPr>
        <w:jc w:val="both"/>
      </w:pPr>
      <w:r w:rsidRPr="00871721">
        <w:t>Prospecto actualizado con la última información a disposición de la empresa.  Este documento estará disponible también en el Puesto de Bolsa Representante, y en la página en internet de la Empresa en la dirección www.holcim.cr</w:t>
      </w:r>
    </w:p>
    <w:p w:rsidR="00E627E7" w:rsidRPr="00871721" w:rsidRDefault="00E627E7" w:rsidP="00E627E7">
      <w:pPr>
        <w:jc w:val="both"/>
      </w:pPr>
    </w:p>
    <w:p w:rsidR="00E627E7" w:rsidRPr="00871721" w:rsidRDefault="00E627E7" w:rsidP="00E627E7">
      <w:pPr>
        <w:numPr>
          <w:ilvl w:val="0"/>
          <w:numId w:val="5"/>
        </w:numPr>
        <w:jc w:val="both"/>
      </w:pPr>
      <w:r w:rsidRPr="00871721">
        <w:t>Trimestralmente, Estados Financieros en la página en internet de la Empresa en la dirección www.holcim.cr</w:t>
      </w:r>
    </w:p>
    <w:p w:rsidR="00E627E7" w:rsidRPr="00871721" w:rsidRDefault="00E627E7" w:rsidP="00E627E7">
      <w:pPr>
        <w:jc w:val="both"/>
      </w:pPr>
    </w:p>
    <w:p w:rsidR="00E627E7" w:rsidRPr="00871721" w:rsidRDefault="00E627E7" w:rsidP="00E627E7">
      <w:pPr>
        <w:numPr>
          <w:ilvl w:val="0"/>
          <w:numId w:val="5"/>
        </w:numPr>
        <w:jc w:val="both"/>
      </w:pPr>
      <w:r w:rsidRPr="00871721">
        <w:t>Anualmente Estados Financieros auditados con las respectivas notas a los estados financieros, los cuales estarán a su disposición en la SUGEVAL, en las Oficinas de la Compañía, o en la página en internet de la Empresa en la dirección: www.holcim.cr.</w:t>
      </w:r>
    </w:p>
    <w:p w:rsidR="00E627E7" w:rsidRPr="00871721" w:rsidRDefault="00E627E7" w:rsidP="00E627E7">
      <w:pPr>
        <w:jc w:val="both"/>
      </w:pPr>
    </w:p>
    <w:p w:rsidR="00E627E7" w:rsidRPr="00871721" w:rsidRDefault="00E627E7" w:rsidP="00E627E7">
      <w:pPr>
        <w:rPr>
          <w:sz w:val="18"/>
          <w:szCs w:val="18"/>
        </w:rPr>
      </w:pPr>
      <w:r w:rsidRPr="00871721">
        <w:br w:type="page"/>
      </w:r>
    </w:p>
    <w:p w:rsidR="00E627E7" w:rsidRPr="00871721" w:rsidRDefault="00E627E7" w:rsidP="00E627E7">
      <w:pPr>
        <w:rPr>
          <w:sz w:val="18"/>
          <w:szCs w:val="18"/>
        </w:rPr>
      </w:pPr>
    </w:p>
    <w:p w:rsidR="00E627E7" w:rsidRPr="00871721" w:rsidRDefault="00E627E7" w:rsidP="00E627E7">
      <w:pPr>
        <w:keepNext/>
        <w:jc w:val="center"/>
        <w:rPr>
          <w:b/>
          <w:sz w:val="28"/>
          <w:szCs w:val="28"/>
        </w:rPr>
      </w:pPr>
      <w:bookmarkStart w:id="16" w:name="_44sinio" w:colFirst="0" w:colLast="0"/>
      <w:bookmarkEnd w:id="16"/>
      <w:r w:rsidRPr="00871721">
        <w:rPr>
          <w:b/>
          <w:sz w:val="28"/>
          <w:szCs w:val="28"/>
        </w:rPr>
        <w:t>ANEXOS</w:t>
      </w:r>
    </w:p>
    <w:p w:rsidR="00E627E7" w:rsidRPr="00871721" w:rsidRDefault="00E627E7" w:rsidP="00E627E7">
      <w:pPr>
        <w:rPr>
          <w:sz w:val="18"/>
          <w:szCs w:val="18"/>
        </w:rPr>
      </w:pPr>
    </w:p>
    <w:p w:rsidR="00E627E7" w:rsidRPr="00871721" w:rsidRDefault="00E627E7" w:rsidP="00E627E7">
      <w:pPr>
        <w:rPr>
          <w:sz w:val="18"/>
          <w:szCs w:val="18"/>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68"/>
      </w:tblGrid>
      <w:tr w:rsidR="00E627E7" w:rsidRPr="00871721" w:rsidTr="00E02D6F">
        <w:trPr>
          <w:trHeight w:val="463"/>
        </w:trPr>
        <w:tc>
          <w:tcPr>
            <w:tcW w:w="9468" w:type="dxa"/>
            <w:vAlign w:val="center"/>
          </w:tcPr>
          <w:p w:rsidR="00E627E7" w:rsidRPr="00871721" w:rsidRDefault="00E627E7" w:rsidP="00E02D6F"/>
        </w:tc>
      </w:tr>
      <w:tr w:rsidR="00E627E7" w:rsidTr="00E02D6F">
        <w:trPr>
          <w:trHeight w:val="436"/>
        </w:trPr>
        <w:tc>
          <w:tcPr>
            <w:tcW w:w="9468" w:type="dxa"/>
            <w:vAlign w:val="center"/>
          </w:tcPr>
          <w:p w:rsidR="00E627E7" w:rsidRPr="00871721" w:rsidRDefault="00E627E7" w:rsidP="00E02D6F">
            <w:r w:rsidRPr="00871721">
              <w:t xml:space="preserve">Anexo 01: Estados Financieros consolidados de </w:t>
            </w:r>
            <w:proofErr w:type="spellStart"/>
            <w:r w:rsidRPr="00871721">
              <w:t>Holcim</w:t>
            </w:r>
            <w:proofErr w:type="spellEnd"/>
            <w:r w:rsidRPr="00871721">
              <w:t xml:space="preserve"> (Costa Rica), S.A. al 31 de diciembre del 2023</w:t>
            </w:r>
          </w:p>
        </w:tc>
      </w:tr>
    </w:tbl>
    <w:p w:rsidR="00E627E7" w:rsidRDefault="00E627E7" w:rsidP="00E627E7">
      <w:pPr>
        <w:rPr>
          <w:b/>
          <w:sz w:val="18"/>
          <w:szCs w:val="18"/>
        </w:rPr>
      </w:pPr>
    </w:p>
    <w:p w:rsidR="00E627E7" w:rsidRDefault="00E627E7" w:rsidP="00E627E7"/>
    <w:p w:rsidR="00C91288" w:rsidRDefault="00C91288"/>
    <w:sectPr w:rsidR="00C91288">
      <w:headerReference w:type="even" r:id="rId13"/>
      <w:headerReference w:type="default" r:id="rId14"/>
      <w:footerReference w:type="even" r:id="rId15"/>
      <w:footerReference w:type="default" r:id="rId16"/>
      <w:headerReference w:type="first" r:id="rId17"/>
      <w:footerReference w:type="first" r:id="rId18"/>
      <w:pgSz w:w="12242" w:h="15842"/>
      <w:pgMar w:top="2268" w:right="1247" w:bottom="1361" w:left="1247" w:header="1021" w:footer="103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D6F" w:rsidRDefault="00E02D6F">
      <w:r>
        <w:separator/>
      </w:r>
    </w:p>
  </w:endnote>
  <w:endnote w:type="continuationSeparator" w:id="0">
    <w:p w:rsidR="00E02D6F" w:rsidRDefault="00E02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D6F" w:rsidRDefault="00E02D6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D6F" w:rsidRDefault="00E02D6F"/>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D6F" w:rsidRDefault="00E02D6F">
    <w:pPr>
      <w:pBdr>
        <w:top w:val="nil"/>
        <w:left w:val="nil"/>
        <w:bottom w:val="nil"/>
        <w:right w:val="nil"/>
        <w:between w:val="nil"/>
      </w:pBdr>
      <w:tabs>
        <w:tab w:val="right" w:pos="9185"/>
      </w:tabs>
      <w:spacing w:line="200" w:lineRule="auto"/>
      <w:ind w:left="142"/>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D6F" w:rsidRDefault="00E02D6F">
      <w:r>
        <w:separator/>
      </w:r>
    </w:p>
  </w:footnote>
  <w:footnote w:type="continuationSeparator" w:id="0">
    <w:p w:rsidR="00E02D6F" w:rsidRDefault="00E02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D6F" w:rsidRDefault="00E02D6F">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D6F" w:rsidRDefault="00E02D6F"/>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D6F" w:rsidRDefault="00E02D6F">
    <w:pPr>
      <w:keepNext/>
      <w:jc w:val="right"/>
      <w:rPr>
        <w:b/>
        <w:sz w:val="18"/>
        <w:szCs w:val="18"/>
      </w:rPr>
    </w:pPr>
    <w:r>
      <w:rPr>
        <w:b/>
        <w:noProof/>
        <w:sz w:val="18"/>
        <w:szCs w:val="18"/>
        <w:lang w:val="es-CR"/>
      </w:rPr>
      <w:drawing>
        <wp:anchor distT="0" distB="0" distL="0" distR="0" simplePos="0" relativeHeight="251659264" behindDoc="1" locked="0" layoutInCell="1" hidden="0" allowOverlap="1" wp14:anchorId="10B52A21" wp14:editId="111DE4FF">
          <wp:simplePos x="0" y="0"/>
          <wp:positionH relativeFrom="page">
            <wp:posOffset>5751830</wp:posOffset>
          </wp:positionH>
          <wp:positionV relativeFrom="page">
            <wp:posOffset>800735</wp:posOffset>
          </wp:positionV>
          <wp:extent cx="1228725" cy="2921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228725" cy="292100"/>
                  </a:xfrm>
                  <a:prstGeom prst="rect">
                    <a:avLst/>
                  </a:prstGeom>
                  <a:ln/>
                </pic:spPr>
              </pic:pic>
            </a:graphicData>
          </a:graphic>
        </wp:anchor>
      </w:drawing>
    </w:r>
  </w:p>
  <w:tbl>
    <w:tblPr>
      <w:tblW w:w="9927" w:type="dxa"/>
      <w:tblLayout w:type="fixed"/>
      <w:tblLook w:val="0000" w:firstRow="0" w:lastRow="0" w:firstColumn="0" w:lastColumn="0" w:noHBand="0" w:noVBand="0"/>
    </w:tblPr>
    <w:tblGrid>
      <w:gridCol w:w="4345"/>
      <w:gridCol w:w="5582"/>
    </w:tblGrid>
    <w:tr w:rsidR="00E02D6F">
      <w:trPr>
        <w:cantSplit/>
      </w:trPr>
      <w:tc>
        <w:tcPr>
          <w:tcW w:w="4345" w:type="dxa"/>
        </w:tcPr>
        <w:p w:rsidR="00E02D6F" w:rsidRDefault="00E02D6F">
          <w:pPr>
            <w:spacing w:line="200" w:lineRule="auto"/>
            <w:rPr>
              <w:sz w:val="16"/>
              <w:szCs w:val="16"/>
            </w:rPr>
          </w:pPr>
          <w:proofErr w:type="spellStart"/>
          <w:r>
            <w:rPr>
              <w:sz w:val="16"/>
              <w:szCs w:val="16"/>
            </w:rPr>
            <w:t>Holcim</w:t>
          </w:r>
          <w:proofErr w:type="spellEnd"/>
          <w:r>
            <w:rPr>
              <w:sz w:val="16"/>
              <w:szCs w:val="16"/>
            </w:rPr>
            <w:t xml:space="preserve"> (Costa Rica) S.A.</w:t>
          </w:r>
        </w:p>
        <w:p w:rsidR="00E02D6F" w:rsidRDefault="00E02D6F">
          <w:pPr>
            <w:spacing w:line="200" w:lineRule="auto"/>
            <w:rPr>
              <w:sz w:val="16"/>
              <w:szCs w:val="16"/>
            </w:rPr>
          </w:pPr>
          <w:r>
            <w:rPr>
              <w:sz w:val="16"/>
              <w:szCs w:val="16"/>
            </w:rPr>
            <w:t>Torre Cordillera, Pavas</w:t>
          </w:r>
        </w:p>
        <w:p w:rsidR="00E02D6F" w:rsidRDefault="00E02D6F">
          <w:pPr>
            <w:spacing w:line="200" w:lineRule="auto"/>
            <w:rPr>
              <w:sz w:val="16"/>
              <w:szCs w:val="16"/>
            </w:rPr>
          </w:pPr>
          <w:r>
            <w:rPr>
              <w:sz w:val="16"/>
              <w:szCs w:val="16"/>
            </w:rPr>
            <w:t>San José, Costa Rica</w:t>
          </w:r>
        </w:p>
        <w:p w:rsidR="00E02D6F" w:rsidRDefault="00E02D6F">
          <w:pPr>
            <w:spacing w:line="200" w:lineRule="auto"/>
            <w:rPr>
              <w:sz w:val="16"/>
              <w:szCs w:val="16"/>
            </w:rPr>
          </w:pPr>
          <w:r>
            <w:rPr>
              <w:sz w:val="16"/>
              <w:szCs w:val="16"/>
            </w:rPr>
            <w:t>Tel: +506 2205-3000</w:t>
          </w:r>
        </w:p>
        <w:p w:rsidR="00E02D6F" w:rsidRDefault="00E02D6F">
          <w:pPr>
            <w:spacing w:line="200" w:lineRule="auto"/>
            <w:rPr>
              <w:sz w:val="16"/>
              <w:szCs w:val="16"/>
            </w:rPr>
          </w:pPr>
          <w:r>
            <w:rPr>
              <w:sz w:val="16"/>
              <w:szCs w:val="16"/>
            </w:rPr>
            <w:t xml:space="preserve">Fax: +506-2205-2700 </w:t>
          </w:r>
        </w:p>
        <w:p w:rsidR="00E02D6F" w:rsidRDefault="00E02D6F">
          <w:pPr>
            <w:spacing w:line="200" w:lineRule="auto"/>
            <w:rPr>
              <w:sz w:val="16"/>
              <w:szCs w:val="16"/>
            </w:rPr>
          </w:pPr>
        </w:p>
        <w:p w:rsidR="00E02D6F" w:rsidRDefault="00E02D6F">
          <w:pPr>
            <w:spacing w:line="200" w:lineRule="auto"/>
            <w:jc w:val="right"/>
            <w:rPr>
              <w:sz w:val="16"/>
              <w:szCs w:val="16"/>
            </w:rPr>
          </w:pPr>
        </w:p>
        <w:p w:rsidR="00E02D6F" w:rsidRDefault="00E02D6F">
          <w:pPr>
            <w:spacing w:line="200" w:lineRule="auto"/>
            <w:jc w:val="right"/>
            <w:rPr>
              <w:sz w:val="16"/>
              <w:szCs w:val="16"/>
            </w:rPr>
          </w:pPr>
        </w:p>
      </w:tc>
      <w:tc>
        <w:tcPr>
          <w:tcW w:w="5582" w:type="dxa"/>
        </w:tcPr>
        <w:p w:rsidR="00E02D6F" w:rsidRDefault="00E02D6F">
          <w:pPr>
            <w:keepNext/>
            <w:jc w:val="right"/>
            <w:rPr>
              <w:sz w:val="16"/>
              <w:szCs w:val="16"/>
            </w:rPr>
          </w:pPr>
          <w:bookmarkStart w:id="17" w:name="_2jxsxqh" w:colFirst="0" w:colLast="0"/>
          <w:bookmarkEnd w:id="17"/>
        </w:p>
      </w:tc>
    </w:tr>
  </w:tbl>
  <w:p w:rsidR="00E02D6F" w:rsidRDefault="00E02D6F">
    <w:pPr>
      <w:spacing w:line="200" w:lineRule="auto"/>
      <w:rPr>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02F3"/>
    <w:multiLevelType w:val="multilevel"/>
    <w:tmpl w:val="BDE8FE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FC5D4F"/>
    <w:multiLevelType w:val="multilevel"/>
    <w:tmpl w:val="E488F7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203BCA"/>
    <w:multiLevelType w:val="multilevel"/>
    <w:tmpl w:val="CD3E6C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82C520D"/>
    <w:multiLevelType w:val="multilevel"/>
    <w:tmpl w:val="EDB4D0AA"/>
    <w:lvl w:ilvl="0">
      <w:start w:val="1"/>
      <w:numFmt w:val="bullet"/>
      <w:lvlText w:val="▪"/>
      <w:lvlJc w:val="left"/>
      <w:pPr>
        <w:ind w:left="340" w:hanging="34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3A551024"/>
    <w:multiLevelType w:val="multilevel"/>
    <w:tmpl w:val="D802718A"/>
    <w:lvl w:ilvl="0">
      <w:start w:val="1"/>
      <w:numFmt w:val="bullet"/>
      <w:lvlText w:val="▪"/>
      <w:lvlJc w:val="left"/>
      <w:pPr>
        <w:ind w:left="340" w:hanging="34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498B18FE"/>
    <w:multiLevelType w:val="multilevel"/>
    <w:tmpl w:val="0C2EA7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E2D6B76"/>
    <w:multiLevelType w:val="multilevel"/>
    <w:tmpl w:val="AC70B7D4"/>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E6370C9"/>
    <w:multiLevelType w:val="multilevel"/>
    <w:tmpl w:val="45AE9C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43C1F57"/>
    <w:multiLevelType w:val="multilevel"/>
    <w:tmpl w:val="FC583F80"/>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9" w15:restartNumberingAfterBreak="0">
    <w:nsid w:val="661B63D5"/>
    <w:multiLevelType w:val="multilevel"/>
    <w:tmpl w:val="66BA51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CD20EFB"/>
    <w:multiLevelType w:val="multilevel"/>
    <w:tmpl w:val="CF4077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D582B15"/>
    <w:multiLevelType w:val="multilevel"/>
    <w:tmpl w:val="10A83B04"/>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7"/>
  </w:num>
  <w:num w:numId="3">
    <w:abstractNumId w:val="1"/>
  </w:num>
  <w:num w:numId="4">
    <w:abstractNumId w:val="10"/>
  </w:num>
  <w:num w:numId="5">
    <w:abstractNumId w:val="4"/>
  </w:num>
  <w:num w:numId="6">
    <w:abstractNumId w:val="3"/>
  </w:num>
  <w:num w:numId="7">
    <w:abstractNumId w:val="8"/>
  </w:num>
  <w:num w:numId="8">
    <w:abstractNumId w:val="5"/>
  </w:num>
  <w:num w:numId="9">
    <w:abstractNumId w:val="2"/>
  </w:num>
  <w:num w:numId="10">
    <w:abstractNumId w:val="6"/>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7E7"/>
    <w:rsid w:val="004A61AE"/>
    <w:rsid w:val="0094391D"/>
    <w:rsid w:val="00B56D85"/>
    <w:rsid w:val="00C91288"/>
    <w:rsid w:val="00D51983"/>
    <w:rsid w:val="00E02D6F"/>
    <w:rsid w:val="00E627E7"/>
    <w:rsid w:val="00FA75D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55C12"/>
  <w15:chartTrackingRefBased/>
  <w15:docId w15:val="{AFE25511-A7B3-41E2-9EC7-F03C852CD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627E7"/>
    <w:pPr>
      <w:spacing w:after="0" w:line="240" w:lineRule="auto"/>
    </w:pPr>
    <w:rPr>
      <w:rFonts w:ascii="Arial" w:eastAsia="Arial" w:hAnsi="Arial" w:cs="Arial"/>
      <w:lang w:val="es-ES_tradnl" w:eastAsia="es-CR"/>
    </w:rPr>
  </w:style>
  <w:style w:type="paragraph" w:styleId="Ttulo1">
    <w:name w:val="heading 1"/>
    <w:basedOn w:val="Normal"/>
    <w:next w:val="Normal"/>
    <w:link w:val="Ttulo1Car"/>
    <w:rsid w:val="00E627E7"/>
    <w:pPr>
      <w:keepNext/>
      <w:spacing w:before="720" w:after="60"/>
      <w:ind w:left="964" w:hanging="964"/>
      <w:outlineLvl w:val="0"/>
    </w:pPr>
    <w:rPr>
      <w:b/>
      <w:smallCaps/>
      <w:u w:val="single"/>
    </w:rPr>
  </w:style>
  <w:style w:type="paragraph" w:styleId="Ttulo2">
    <w:name w:val="heading 2"/>
    <w:basedOn w:val="Normal"/>
    <w:next w:val="Normal"/>
    <w:link w:val="Ttulo2Car"/>
    <w:rsid w:val="00E627E7"/>
    <w:pPr>
      <w:keepNext/>
      <w:spacing w:before="480" w:after="60"/>
      <w:ind w:left="964" w:hanging="964"/>
      <w:outlineLvl w:val="1"/>
    </w:pPr>
    <w:rPr>
      <w:b/>
      <w:u w:val="single"/>
    </w:rPr>
  </w:style>
  <w:style w:type="paragraph" w:styleId="Ttulo3">
    <w:name w:val="heading 3"/>
    <w:basedOn w:val="Normal"/>
    <w:next w:val="Normal"/>
    <w:link w:val="Ttulo3Car"/>
    <w:rsid w:val="00E627E7"/>
    <w:pPr>
      <w:keepNext/>
      <w:spacing w:before="360" w:after="60"/>
      <w:ind w:left="964" w:hanging="964"/>
      <w:outlineLvl w:val="2"/>
    </w:pPr>
    <w:rPr>
      <w:u w:val="single"/>
    </w:rPr>
  </w:style>
  <w:style w:type="paragraph" w:styleId="Ttulo4">
    <w:name w:val="heading 4"/>
    <w:basedOn w:val="Normal"/>
    <w:next w:val="Normal"/>
    <w:link w:val="Ttulo4Car"/>
    <w:rsid w:val="00E627E7"/>
    <w:pPr>
      <w:keepNext/>
      <w:spacing w:before="280" w:after="60"/>
      <w:ind w:left="964" w:hanging="964"/>
      <w:outlineLvl w:val="3"/>
    </w:pPr>
    <w:rPr>
      <w:u w:val="single"/>
    </w:rPr>
  </w:style>
  <w:style w:type="paragraph" w:styleId="Ttulo5">
    <w:name w:val="heading 5"/>
    <w:basedOn w:val="Normal"/>
    <w:next w:val="Normal"/>
    <w:link w:val="Ttulo5Car"/>
    <w:rsid w:val="00E627E7"/>
    <w:pPr>
      <w:keepNext/>
      <w:spacing w:before="280" w:after="60"/>
      <w:ind w:left="964" w:hanging="964"/>
      <w:outlineLvl w:val="4"/>
    </w:pPr>
    <w:rPr>
      <w:u w:val="single"/>
    </w:rPr>
  </w:style>
  <w:style w:type="paragraph" w:styleId="Ttulo6">
    <w:name w:val="heading 6"/>
    <w:basedOn w:val="Normal"/>
    <w:next w:val="Normal"/>
    <w:link w:val="Ttulo6Car"/>
    <w:rsid w:val="00E627E7"/>
    <w:pPr>
      <w:ind w:left="964" w:hanging="964"/>
      <w:outlineLvl w:val="5"/>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627E7"/>
    <w:rPr>
      <w:rFonts w:ascii="Arial" w:eastAsia="Arial" w:hAnsi="Arial" w:cs="Arial"/>
      <w:b/>
      <w:smallCaps/>
      <w:u w:val="single"/>
      <w:lang w:val="es-ES_tradnl" w:eastAsia="es-CR"/>
    </w:rPr>
  </w:style>
  <w:style w:type="character" w:customStyle="1" w:styleId="Ttulo2Car">
    <w:name w:val="Título 2 Car"/>
    <w:basedOn w:val="Fuentedeprrafopredeter"/>
    <w:link w:val="Ttulo2"/>
    <w:rsid w:val="00E627E7"/>
    <w:rPr>
      <w:rFonts w:ascii="Arial" w:eastAsia="Arial" w:hAnsi="Arial" w:cs="Arial"/>
      <w:b/>
      <w:u w:val="single"/>
      <w:lang w:val="es-ES_tradnl" w:eastAsia="es-CR"/>
    </w:rPr>
  </w:style>
  <w:style w:type="character" w:customStyle="1" w:styleId="Ttulo3Car">
    <w:name w:val="Título 3 Car"/>
    <w:basedOn w:val="Fuentedeprrafopredeter"/>
    <w:link w:val="Ttulo3"/>
    <w:rsid w:val="00E627E7"/>
    <w:rPr>
      <w:rFonts w:ascii="Arial" w:eastAsia="Arial" w:hAnsi="Arial" w:cs="Arial"/>
      <w:u w:val="single"/>
      <w:lang w:val="es-ES_tradnl" w:eastAsia="es-CR"/>
    </w:rPr>
  </w:style>
  <w:style w:type="character" w:customStyle="1" w:styleId="Ttulo4Car">
    <w:name w:val="Título 4 Car"/>
    <w:basedOn w:val="Fuentedeprrafopredeter"/>
    <w:link w:val="Ttulo4"/>
    <w:rsid w:val="00E627E7"/>
    <w:rPr>
      <w:rFonts w:ascii="Arial" w:eastAsia="Arial" w:hAnsi="Arial" w:cs="Arial"/>
      <w:u w:val="single"/>
      <w:lang w:val="es-ES_tradnl" w:eastAsia="es-CR"/>
    </w:rPr>
  </w:style>
  <w:style w:type="character" w:customStyle="1" w:styleId="Ttulo5Car">
    <w:name w:val="Título 5 Car"/>
    <w:basedOn w:val="Fuentedeprrafopredeter"/>
    <w:link w:val="Ttulo5"/>
    <w:rsid w:val="00E627E7"/>
    <w:rPr>
      <w:rFonts w:ascii="Arial" w:eastAsia="Arial" w:hAnsi="Arial" w:cs="Arial"/>
      <w:u w:val="single"/>
      <w:lang w:val="es-ES_tradnl" w:eastAsia="es-CR"/>
    </w:rPr>
  </w:style>
  <w:style w:type="character" w:customStyle="1" w:styleId="Ttulo6Car">
    <w:name w:val="Título 6 Car"/>
    <w:basedOn w:val="Fuentedeprrafopredeter"/>
    <w:link w:val="Ttulo6"/>
    <w:rsid w:val="00E627E7"/>
    <w:rPr>
      <w:rFonts w:ascii="Arial" w:eastAsia="Arial" w:hAnsi="Arial" w:cs="Arial"/>
      <w:lang w:val="es-ES_tradnl" w:eastAsia="es-CR"/>
    </w:rPr>
  </w:style>
  <w:style w:type="table" w:customStyle="1" w:styleId="TableNormal">
    <w:name w:val="Table Normal"/>
    <w:rsid w:val="00E627E7"/>
    <w:pPr>
      <w:spacing w:after="0" w:line="240" w:lineRule="auto"/>
    </w:pPr>
    <w:rPr>
      <w:rFonts w:ascii="Arial" w:eastAsia="Arial" w:hAnsi="Arial" w:cs="Arial"/>
      <w:lang w:val="es-ES_tradnl" w:eastAsia="es-CR"/>
    </w:rPr>
    <w:tblPr>
      <w:tblCellMar>
        <w:top w:w="0" w:type="dxa"/>
        <w:left w:w="0" w:type="dxa"/>
        <w:bottom w:w="0" w:type="dxa"/>
        <w:right w:w="0" w:type="dxa"/>
      </w:tblCellMar>
    </w:tblPr>
  </w:style>
  <w:style w:type="paragraph" w:styleId="Ttulo">
    <w:name w:val="Title"/>
    <w:basedOn w:val="Normal"/>
    <w:next w:val="Normal"/>
    <w:link w:val="TtuloCar"/>
    <w:rsid w:val="00E627E7"/>
    <w:pPr>
      <w:jc w:val="center"/>
    </w:pPr>
    <w:rPr>
      <w:rFonts w:ascii="Times New Roman" w:eastAsia="Times New Roman" w:hAnsi="Times New Roman" w:cs="Times New Roman"/>
      <w:b/>
      <w:sz w:val="24"/>
      <w:szCs w:val="24"/>
    </w:rPr>
  </w:style>
  <w:style w:type="character" w:customStyle="1" w:styleId="TtuloCar">
    <w:name w:val="Título Car"/>
    <w:basedOn w:val="Fuentedeprrafopredeter"/>
    <w:link w:val="Ttulo"/>
    <w:rsid w:val="00E627E7"/>
    <w:rPr>
      <w:rFonts w:ascii="Times New Roman" w:eastAsia="Times New Roman" w:hAnsi="Times New Roman" w:cs="Times New Roman"/>
      <w:b/>
      <w:sz w:val="24"/>
      <w:szCs w:val="24"/>
      <w:lang w:val="es-ES_tradnl" w:eastAsia="es-CR"/>
    </w:rPr>
  </w:style>
  <w:style w:type="paragraph" w:styleId="Subttulo">
    <w:name w:val="Subtitle"/>
    <w:basedOn w:val="Normal"/>
    <w:next w:val="Normal"/>
    <w:link w:val="SubttuloCar"/>
    <w:rsid w:val="00E627E7"/>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E627E7"/>
    <w:rPr>
      <w:rFonts w:ascii="Georgia" w:eastAsia="Georgia" w:hAnsi="Georgia" w:cs="Georgia"/>
      <w:i/>
      <w:color w:val="666666"/>
      <w:sz w:val="48"/>
      <w:szCs w:val="48"/>
      <w:lang w:val="es-ES_tradnl" w:eastAsia="es-CR"/>
    </w:rPr>
  </w:style>
  <w:style w:type="paragraph" w:styleId="Textodeglobo">
    <w:name w:val="Balloon Text"/>
    <w:basedOn w:val="Normal"/>
    <w:link w:val="TextodegloboCar"/>
    <w:uiPriority w:val="99"/>
    <w:semiHidden/>
    <w:unhideWhenUsed/>
    <w:rsid w:val="00E627E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27E7"/>
    <w:rPr>
      <w:rFonts w:ascii="Segoe UI" w:eastAsia="Arial" w:hAnsi="Segoe UI" w:cs="Segoe UI"/>
      <w:sz w:val="18"/>
      <w:szCs w:val="18"/>
      <w:lang w:val="es-ES_tradnl" w:eastAsia="es-CR"/>
    </w:rPr>
  </w:style>
  <w:style w:type="character" w:styleId="Refdecomentario">
    <w:name w:val="annotation reference"/>
    <w:basedOn w:val="Fuentedeprrafopredeter"/>
    <w:uiPriority w:val="99"/>
    <w:semiHidden/>
    <w:unhideWhenUsed/>
    <w:rsid w:val="00E627E7"/>
    <w:rPr>
      <w:sz w:val="16"/>
      <w:szCs w:val="16"/>
    </w:rPr>
  </w:style>
  <w:style w:type="paragraph" w:styleId="Textocomentario">
    <w:name w:val="annotation text"/>
    <w:basedOn w:val="Normal"/>
    <w:link w:val="TextocomentarioCar"/>
    <w:uiPriority w:val="99"/>
    <w:semiHidden/>
    <w:unhideWhenUsed/>
    <w:rsid w:val="00E627E7"/>
    <w:rPr>
      <w:sz w:val="20"/>
      <w:szCs w:val="20"/>
    </w:rPr>
  </w:style>
  <w:style w:type="character" w:customStyle="1" w:styleId="TextocomentarioCar">
    <w:name w:val="Texto comentario Car"/>
    <w:basedOn w:val="Fuentedeprrafopredeter"/>
    <w:link w:val="Textocomentario"/>
    <w:uiPriority w:val="99"/>
    <w:semiHidden/>
    <w:rsid w:val="00E627E7"/>
    <w:rPr>
      <w:rFonts w:ascii="Arial" w:eastAsia="Arial" w:hAnsi="Arial" w:cs="Arial"/>
      <w:sz w:val="20"/>
      <w:szCs w:val="20"/>
      <w:lang w:val="es-ES_tradnl" w:eastAsia="es-CR"/>
    </w:rPr>
  </w:style>
  <w:style w:type="paragraph" w:styleId="Asuntodelcomentario">
    <w:name w:val="annotation subject"/>
    <w:basedOn w:val="Textocomentario"/>
    <w:next w:val="Textocomentario"/>
    <w:link w:val="AsuntodelcomentarioCar"/>
    <w:uiPriority w:val="99"/>
    <w:semiHidden/>
    <w:unhideWhenUsed/>
    <w:rsid w:val="00E627E7"/>
    <w:rPr>
      <w:b/>
      <w:bCs/>
    </w:rPr>
  </w:style>
  <w:style w:type="character" w:customStyle="1" w:styleId="AsuntodelcomentarioCar">
    <w:name w:val="Asunto del comentario Car"/>
    <w:basedOn w:val="TextocomentarioCar"/>
    <w:link w:val="Asuntodelcomentario"/>
    <w:uiPriority w:val="99"/>
    <w:semiHidden/>
    <w:rsid w:val="00E627E7"/>
    <w:rPr>
      <w:rFonts w:ascii="Arial" w:eastAsia="Arial" w:hAnsi="Arial" w:cs="Arial"/>
      <w:b/>
      <w:bCs/>
      <w:sz w:val="20"/>
      <w:szCs w:val="20"/>
      <w:lang w:val="es-ES_tradnl" w:eastAsia="es-CR"/>
    </w:rPr>
  </w:style>
  <w:style w:type="paragraph" w:styleId="Revisin">
    <w:name w:val="Revision"/>
    <w:hidden/>
    <w:uiPriority w:val="99"/>
    <w:semiHidden/>
    <w:rsid w:val="00FA75D8"/>
    <w:pPr>
      <w:spacing w:after="0" w:line="240" w:lineRule="auto"/>
    </w:pPr>
    <w:rPr>
      <w:rFonts w:ascii="Arial" w:eastAsia="Arial" w:hAnsi="Arial" w:cs="Arial"/>
      <w:lang w:val="es-ES_tradnl"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&#65279;<?xml version="1.0" encoding="utf-8"?><Relationships xmlns="http://schemas.openxmlformats.org/package/2006/relationships"><Relationship Type="http://schemas.openxmlformats.org/package/2006/relationships/digital-signature/signature" Target="/_xmlsignatures/sig1.xml" Id="rId1" /></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lKTVgwolWwciypDDQ5dB/NHNCgGRP3AyNB7Pgeg7N8E=</DigestValue>
    </Reference>
    <Reference Type="http://uri.etsi.org/01903#SignedProperties" URI="#idSignedProperties">
      <Transforms>
        <Transform Algorithm="http://www.w3.org/TR/2001/REC-xml-c14n-20010315"/>
      </Transforms>
      <DigestMethod Algorithm="http://www.w3.org/2001/04/xmlenc#sha256"/>
      <DigestValue>lnazZTeOb71t8bK8GwhGjLxdtQmqGMwaY/411Pc0S10=</DigestValue>
    </Reference>
  </SignedInfo>
  <SignatureValue>RKUHtBDq/IaJi/QNRJpoU1wT/4VcnEKFWTgiQsBwgR6QXd1oV1TykykHPkZ4n6gUfIP/HlLErjWGCHOUWDUEPhtQzeG4HdiBo2mzRkg4CkrSkEmn6OKEY9Pi/35dijBPshtjwDt4s7IOHXb3Db8sOWfePpFe3/vCZNBjW5mdHwm8VL41BoLkp77kKdfZ/zaX+mP2OHTB5LoL/dekPJU7keUUkkUk3bga8R7Aq6rSDy0pqKEtqalfpIr3BJmx7K5ea5uNJaDm7Suv1MTg3OCzUeqlNnSTEIakRCuTdu4cf04ylbV5BV+SvHqbq8BSicxo7pYlnRp7yuwLevdOYl35EA==</SignatureValue>
  <KeyInfo>
    <X509Data>
      <X509Certificate>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Transform>
          <Transform Algorithm="http://www.w3.org/TR/2001/REC-xml-c14n-20010315"/>
        </Transforms>
        <DigestMethod Algorithm="http://www.w3.org/2001/04/xmlenc#sha256"/>
        <DigestValue>IanGZiGGkEzOOVz6uvHlbG0leH4Uz/Ma/feAwW9EJXU=</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X4muj72hS6Pr3uPdeiwpOvtg0S6EYpueW+/xJN1/yyw=</DigestValue>
      </Reference>
      <Reference URI="/word/document.xml?ContentType=application/vnd.openxmlformats-officedocument.wordprocessingml.document.main+xml">
        <DigestMethod Algorithm="http://www.w3.org/2001/04/xmlenc#sha256"/>
        <DigestValue>VL90+Y3rAS23jORz1wkVxXy3v+ww+LWVMi0Xl90BMBw=</DigestValue>
      </Reference>
      <Reference URI="/word/media/image1.png?ContentType=image/png">
        <DigestMethod Algorithm="http://www.w3.org/2001/04/xmlenc#sha256"/>
        <DigestValue>rDiks9OAg5bzpEUsDA829abVT1wseseLUcBMqL9rCa4=</DigestValue>
      </Reference>
      <Reference URI="/word/header1.xml?ContentType=application/vnd.openxmlformats-officedocument.wordprocessingml.header+xml">
        <DigestMethod Algorithm="http://www.w3.org/2001/04/xmlenc#sha256"/>
        <DigestValue>k1G9AiE/Jxgi81eEBtIsBUUIVzCGx4XXOiYc3Zd+mcU=</DigestValue>
      </Reference>
      <Reference URI="/word/footer3.xml?ContentType=application/vnd.openxmlformats-officedocument.wordprocessingml.footer+xml">
        <DigestMethod Algorithm="http://www.w3.org/2001/04/xmlenc#sha256"/>
        <DigestValue>iip6d0YtaN+Sdq8otqS9L4c2cejxn5x4PiZuKpNNU6o=</DigestValue>
      </Reference>
      <Reference URI="/word/styles.xml?ContentType=application/vnd.openxmlformats-officedocument.wordprocessingml.styles+xml">
        <DigestMethod Algorithm="http://www.w3.org/2001/04/xmlenc#sha256"/>
        <DigestValue>HqJrQTaHYlhZshIw8hWBCv15nLNSLDMTADIq2r01p1w=</DigestValue>
      </Reference>
      <Reference URI="/word/endnotes.xml?ContentType=application/vnd.openxmlformats-officedocument.wordprocessingml.endnotes+xml">
        <DigestMethod Algorithm="http://www.w3.org/2001/04/xmlenc#sha256"/>
        <DigestValue>uVXTTekPWMUNEd8eE5pRn8W2YFPTruSMAZ8bCVfvDyY=</DigestValue>
      </Reference>
      <Reference URI="/word/media/image5.png?ContentType=image/png">
        <DigestMethod Algorithm="http://www.w3.org/2001/04/xmlenc#sha256"/>
        <DigestValue>nSUqKJpjiDfecYnZrs3G0Bf9sBQmrJE0nJWKGJ32rK4=</DigestValue>
      </Reference>
      <Reference URI="/word/header3.xml?ContentType=application/vnd.openxmlformats-officedocument.wordprocessingml.header+xml">
        <DigestMethod Algorithm="http://www.w3.org/2001/04/xmlenc#sha256"/>
        <DigestValue>UsJ0ao1tNw52Dpef5Vkpxm/0hPfUqlal243cXVx1dZU=</DigestValue>
      </Reference>
      <Reference URI="/word/media/image6.jpg?ContentType=image/jpeg">
        <DigestMethod Algorithm="http://www.w3.org/2001/04/xmlenc#sha256"/>
        <DigestValue>UA6EiVKY3Cm27AcOAmXUQUbOLun+KqN6RV8AAI3YRLo=</DigestValue>
      </Reference>
      <Reference URI="/word/numbering.xml?ContentType=application/vnd.openxmlformats-officedocument.wordprocessingml.numbering+xml">
        <DigestMethod Algorithm="http://www.w3.org/2001/04/xmlenc#sha256"/>
        <DigestValue>6XZAPU4pXFON1/Z4SdOmqk6RU6KOuSZrIHWCVS+JtOc=</DigestValue>
      </Reference>
      <Reference URI="/word/footer2.xml?ContentType=application/vnd.openxmlformats-officedocument.wordprocessingml.footer+xml">
        <DigestMethod Algorithm="http://www.w3.org/2001/04/xmlenc#sha256"/>
        <DigestValue>cFlgvP0oxL8pH9YAUrbO9YmfxoZGeDQaEyuZ7z15Rn8=</DigestValue>
      </Reference>
      <Reference URI="/word/theme/theme1.xml?ContentType=application/vnd.openxmlformats-officedocument.theme+xml">
        <DigestMethod Algorithm="http://www.w3.org/2001/04/xmlenc#sha256"/>
        <DigestValue>E9IrRfM7lbeZBMX3C33W0xGBnugp7gFCuucETSBOZdc=</DigestValue>
      </Reference>
      <Reference URI="/word/footnotes.xml?ContentType=application/vnd.openxmlformats-officedocument.wordprocessingml.footnotes+xml">
        <DigestMethod Algorithm="http://www.w3.org/2001/04/xmlenc#sha256"/>
        <DigestValue>ZCLo7XYJ9j/N0mJYFF9CN9gJ/3PaS37rpFXXG53WtZ8=</DigestValue>
      </Reference>
      <Reference URI="/word/media/image4.png?ContentType=image/png">
        <DigestMethod Algorithm="http://www.w3.org/2001/04/xmlenc#sha256"/>
        <DigestValue>1HZiBYOs59uFdWfxd3s/hSvIJ6R2CluIWSUXsHdAmmU=</DigestValue>
      </Reference>
      <Reference URI="/word/webSettings.xml?ContentType=application/vnd.openxmlformats-officedocument.wordprocessingml.webSettings+xml">
        <DigestMethod Algorithm="http://www.w3.org/2001/04/xmlenc#sha256"/>
        <DigestValue>8JastnM5t30OLdmv2PyPNOe1YxAXc/Qz0O1UCFnWyxM=</DigestValue>
      </Reference>
      <Reference URI="/word/footer1.xml?ContentType=application/vnd.openxmlformats-officedocument.wordprocessingml.footer+xml">
        <DigestMethod Algorithm="http://www.w3.org/2001/04/xmlenc#sha256"/>
        <DigestValue>L/72jemfI9/VGjNkUDcVaXzryLCGod1NGz4tw/AdwMM=</DigestValue>
      </Reference>
      <Reference URI="/word/media/image3.png?ContentType=image/png">
        <DigestMethod Algorithm="http://www.w3.org/2001/04/xmlenc#sha256"/>
        <DigestValue>N3LNhW8inFMy55+KZd24+sc6SkWs4nJPmSS6YMdy9eo=</DigestValue>
      </Reference>
      <Reference URI="/word/fontTable.xml?ContentType=application/vnd.openxmlformats-officedocument.wordprocessingml.fontTable+xml">
        <DigestMethod Algorithm="http://www.w3.org/2001/04/xmlenc#sha256"/>
        <DigestValue>xlc6H5JlD5YoTO7gIyDr6Tq5yf5O1r9b9nOeyH2jv/E=</DigestValue>
      </Reference>
      <Reference URI="/word/settings.xml?ContentType=application/vnd.openxmlformats-officedocument.wordprocessingml.settings+xml">
        <DigestMethod Algorithm="http://www.w3.org/2001/04/xmlenc#sha256"/>
        <DigestValue>ep5JEPYiRmd8v5vjpD2D0iLE7dg/rH9M43R5ouh5IPI=</DigestValue>
      </Reference>
      <Reference URI="/word/media/image2.png?ContentType=image/png">
        <DigestMethod Algorithm="http://www.w3.org/2001/04/xmlenc#sha256"/>
        <DigestValue>/jky7BItUj8ue5cit9l9C4mqcm50CUwuIuLlTU5pLqU=</DigestValue>
      </Reference>
      <Reference URI="/word/header2.xml?ContentType=application/vnd.openxmlformats-officedocument.wordprocessingml.header+xml">
        <DigestMethod Algorithm="http://www.w3.org/2001/04/xmlenc#sha256"/>
        <DigestValue>dykXVU2ndIlplPZXwuHzOTwzsAQt+euvDDBuYE7iVsc=</DigestValue>
      </Reference>
    </Manifest>
    <SignatureProperties>
      <SignatureProperty Id="idSignatureTime" Target="#idPackageSignature">
        <mdssi:SignatureTime xmlns:mdssi="http://schemas.openxmlformats.org/package/2006/digital-signature">
          <mdssi:Format>YYYY-MM-DDThh:mm:ssTZD</mdssi:Format>
          <mdssi:Value>2025-02-18T22:39:43Z</mdssi:Value>
        </mdssi:SignatureTime>
      </SignatureProperty>
    </SignatureProperties>
  </Object>
  <Object>
    <xd:QualifyingProperties xmlns:xd="http://uri.etsi.org/01903/v1.3.2#" Target="#idPackageSignature">
      <xd:SignedProperties Id="idSignedProperties">
        <xd:SignedSignatureProperties>
          <xd:SigningTime>2025-02-18T22:39:43Z</xd:SigningTime>
          <xd:SigningCertificate>
            <xd:Cert>
              <xd:CertDigest>
                <DigestMethod Algorithm="http://www.w3.org/2001/04/xmlenc#sha256"/>
                <DigestValue>3zeqQDjZygphVme/cPUuqK2TYu0vUA8Qy/NVDrPtAWo=</DigestValue>
              </xd:CertDigest>
              <xd:IssuerSerial>
                <X509IssuerName>CN=CA SINPE - PERSONA FISICA v2, OU=DIVISION SISTEMAS DE PAGO, O=BANCO CENTRAL DE COSTA RICA, C=CR, SERIALNUMBER=CPJ-4-000-004017</X509IssuerName>
                <X509SerialNumber>446019665239236193207495428157909259755847162</X509SerialNumber>
              </xd:IssuerSerial>
            </xd:Cert>
          </xd:SigningCertificate>
        </xd:SignedSignatureProperties>
      </xd:SignedProperties>
      <xd:UnsignedProperties>
        <xd:UnsignedSignatureProperties>
          <xd:CertificateValues>
            <xd:EncapsulatedX509Certificate>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</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</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</xd:EncapsulatedCRLValue>
                <xd:EncapsulatedCRLValue>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</xd:EncapsulatedCRLValue>
              </xd:CRLValues>
            </xd:RevocationValues>
          </TimeStampValidationData>
          <xd:CompleteCertificateRefs>
            <xd:CertRefs>
              <xd:Cert>
                <xd:CertDigest>
                  <DigestMethod Algorithm="http://www.w3.org/2001/04/xmlenc#sha256"/>
                  <DigestValue>WOB/2K5+bJEAragXITImcX8hI8jSPQeKC9dYvr/WcaU=</DigestValue>
                </xd:CertDigest>
                <xd:IssuerSerial>
                  <X509IssuerName>CN=CA POLITICA PERSONA FISICA - COSTA RICA v2, OU=DCFD, O=MICITT, C=CR, SERIALNUMBER=CPJ-2-100-098311</X509IssuerName>
                  <X509SerialNumber>1672555889920220192711854395991189670244384773</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CRLRefs>
              <xd:CRLRef>
                <xd:DigestAlgAndValue>
                  <DigestMethod Algorithm="http://www.w3.org/2001/04/xmlenc#sha256"/>
                  <DigestValue>8uWGNxCzzc7G2hTC6DJcYq97yfdizCfIUctiadc9Jqw=</DigestValue>
                </xd:DigestAlgAndValue>
                <xd:CRLIdentifier>
                  <xd:Issuer>SERIALNUMBER=CPJ-2-100-098311,C=CR,O=MICITT,OU=DCFD,CN=CA POLITICA PERSONA FISICA - COSTA RICA v2</xd:Issuer>
                  <xd:IssueTime>2025-01-08T17:06:48Z</xd:IssueTime>
                  <xd:Number>60</xd:Number>
                </xd:CRLIdentifier>
              </xd:CRLRef>
              <xd:CRLRef>
                <xd:DigestAlgAndValue>
                  <DigestMethod Algorithm="http://www.w3.org/2001/04/xmlenc#sha256"/>
                  <DigestValue>XfJJsnf7gsMVHvql882LP2iiDZ0wkSzCd/Rf8pQeVlA=</DigestValue>
                </xd:DigestAlgAndValue>
                <xd:CRLIdentifier>
                  <xd:Issuer>SERIALNUMBER=CPJ-2-100-098311,OU=DCFD,O=MICITT,C=CR,CN=CA RAIZ NACIONAL - COSTA RICA v2</xd:Issuer>
                  <xd:IssueTime>2025-01-08T16:47:56Z</xd:IssueTime>
                  <xd:Number>35</xd:Number>
                </xd:CRLIdentifier>
              </xd:CRLRef>
            </xd:CRLRefs>
            <xd:OCSPRefs>
              <xd:OCSPRef>
                <xd:OCSPIdentifier>
                  <xd:ResponderID>
                    <xd:ByKey>g7e6Q+a3E9AAucoZTxmBMcji3d8=</xd:ByKey>
                  </xd:ResponderID>
                  <xd:ProducedAt>2025-02-18T22:40:01Z</xd:ProducedAt>
                </xd:OCSPIdentifier>
                <xd:DigestAlgAndValue>
                  <DigestMethod Algorithm="http://www.w3.org/2001/04/xmlenc#sha256"/>
                  <DigestValue>ra71DHRPYBc9cVKCjaaON2Y2WqXAs4bZ9eNMNcVTtiM=</DigestValue>
                </xd:DigestAlgAndValue>
              </xd:OCSPRef>
            </xd:OCSPRefs>
          </xd:CompleteRevocationRefs>
          <xd:RevocationValues>
            <xd:CRLValues>
              <xd:EncapsulatedCRLValue>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</xd:EncapsulatedCRLValue>
              <xd:EncapsulatedCRLValue>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</xd:EncapsulatedCRLValue>
            </xd:CRLValues>
            <xd:OCSPValues>
              <xd:EncapsulatedOCSPValue>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</xd:EncapsulatedOCSPValue>
            </xd:OCSPValues>
          </xd:RevocationValues>
          <xd:SigAndRefsTimeStamp>
            <CanonicalizationMethod Algorithm="http://www.w3.org/TR/2001/REC-xml-c14n-20010315"/>
            <xd:EncapsulatedTimeStamp>MIIK0QYJKoZIhvcNAQcCoIIKwjCCCr4CAQMxDzANBglghkgBZQMEAgEFADBzBgsqhkiG9w0BCRAB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</xd:EncapsulatedTimeStamp>
          </xd:SigAndRefsTimeStamp>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2B123-E67C-4944-8EC2-867AC37A4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16203</Words>
  <Characters>89117</Characters>
  <Application>Microsoft Office Word</Application>
  <DocSecurity>0</DocSecurity>
  <Lines>742</Lines>
  <Paragraphs>210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Kirsia Maria Morales Hidalgo</dc:creator>
  <cp:keywords/>
  <dc:description/>
  <cp:lastModifiedBy>MONICA FARRER</cp:lastModifiedBy>
  <cp:revision>2</cp:revision>
  <dcterms:created xsi:type="dcterms:W3CDTF">2025-02-18T21:35:00Z</dcterms:created>
  <dcterms:modified xsi:type="dcterms:W3CDTF">2025-02-18T21:35:00Z</dcterms:modified>
</cp:coreProperties>
</file>